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750DDB" w14:textId="2E4BEA02" w:rsidR="00BE4B7B" w:rsidRPr="00BE4B7B" w:rsidRDefault="00BE4B7B" w:rsidP="00BE4B7B">
      <w:pPr>
        <w:pStyle w:val="Heading2"/>
      </w:pPr>
      <w:r w:rsidRPr="00C2751E">
        <w:rPr>
          <w:lang w:val="ro-RO"/>
        </w:rPr>
        <w:t>Anexa 10.</w:t>
      </w:r>
      <w:r>
        <w:rPr>
          <w:lang w:val="ro-RO"/>
        </w:rPr>
        <w:t>9 Consultarea panelului de experți</w:t>
      </w:r>
      <w:r w:rsidRPr="00C2751E">
        <w:t> </w:t>
      </w:r>
    </w:p>
    <w:p w14:paraId="1920BEA6" w14:textId="45FC8179" w:rsidR="005168BC" w:rsidRPr="00943AFC" w:rsidRDefault="005168BC" w:rsidP="00225D21">
      <w:pPr>
        <w:spacing w:after="120" w:line="276" w:lineRule="auto"/>
        <w:jc w:val="both"/>
        <w:rPr>
          <w:rFonts w:ascii="Calibri" w:hAnsi="Calibri" w:cs="Calibri"/>
          <w:lang w:val="ro-RO"/>
        </w:rPr>
      </w:pPr>
      <w:r w:rsidRPr="00943AFC">
        <w:rPr>
          <w:rFonts w:ascii="Calibri" w:hAnsi="Calibri" w:cs="Calibri"/>
          <w:lang w:val="ro-RO"/>
        </w:rPr>
        <w:t xml:space="preserve">Activitățile de evaluare </w:t>
      </w:r>
      <w:r w:rsidRPr="00943AFC">
        <w:rPr>
          <w:rFonts w:ascii="Calibri" w:hAnsi="Calibri" w:cs="Calibri"/>
          <w:lang w:val="ro-RO"/>
        </w:rPr>
        <w:t>au prevăzut și</w:t>
      </w:r>
      <w:r w:rsidRPr="00943AFC">
        <w:rPr>
          <w:rFonts w:ascii="Calibri" w:hAnsi="Calibri" w:cs="Calibri"/>
          <w:lang w:val="ro-RO"/>
        </w:rPr>
        <w:t xml:space="preserve"> consultarea unui panel de experți, format din doi experți cu profiluri diferite.</w:t>
      </w:r>
      <w:r w:rsidR="003505A4" w:rsidRPr="00943AFC">
        <w:rPr>
          <w:rFonts w:ascii="Calibri" w:hAnsi="Calibri" w:cs="Calibri"/>
          <w:lang w:val="ro-RO"/>
        </w:rPr>
        <w:t xml:space="preserve"> </w:t>
      </w:r>
      <w:r w:rsidR="003505A4" w:rsidRPr="00943AFC">
        <w:rPr>
          <w:rFonts w:ascii="Calibri" w:hAnsi="Calibri" w:cs="Calibri"/>
          <w:lang w:val="ro-RO"/>
        </w:rPr>
        <w:t>Primul expert este implicat într-o evaluare intermediară a unui program FEDR într-un alt stat membru al UE. Al doilea expert are experiență în domeniul mediului și efectuează un studiu pentru DG REGIO pentru a sprijini evaluarea intermediară a programelor Politicii de Coeziune pentru perioada 2021-2027, finanțate din FEDR, Fondul de Coeziune și FTJ. În cele ce urmează sunt prezentate sunt punctele cheie care au rezultat din consultarea experților.</w:t>
      </w:r>
    </w:p>
    <w:p w14:paraId="3A9759B1" w14:textId="3360AB8C" w:rsidR="005E21B3" w:rsidRPr="00943AFC" w:rsidRDefault="005E197F" w:rsidP="00225D21">
      <w:pPr>
        <w:spacing w:after="120"/>
        <w:rPr>
          <w:rFonts w:ascii="Calibri" w:hAnsi="Calibri" w:cs="Calibri"/>
          <w:b/>
          <w:bCs/>
        </w:rPr>
      </w:pPr>
      <w:r w:rsidRPr="00943AFC">
        <w:rPr>
          <w:rFonts w:ascii="Calibri" w:hAnsi="Calibri" w:cs="Calibri"/>
          <w:b/>
          <w:bCs/>
        </w:rPr>
        <w:t xml:space="preserve">(1) </w:t>
      </w:r>
      <w:r w:rsidR="00431844" w:rsidRPr="00943AFC">
        <w:rPr>
          <w:rFonts w:ascii="Calibri" w:hAnsi="Calibri" w:cs="Calibri"/>
          <w:b/>
          <w:bCs/>
        </w:rPr>
        <w:t>Provocări privind implementarea la nivelul UE</w:t>
      </w:r>
    </w:p>
    <w:p w14:paraId="74C9EE6F" w14:textId="3FA77E3C" w:rsidR="00D20FE8" w:rsidRPr="00A24B85" w:rsidRDefault="00D20FE8" w:rsidP="00225D21">
      <w:pPr>
        <w:spacing w:after="120" w:line="276" w:lineRule="auto"/>
        <w:jc w:val="both"/>
        <w:rPr>
          <w:rFonts w:ascii="Calibri" w:hAnsi="Calibri" w:cs="Calibri"/>
          <w:lang w:val="ro-RO" w:eastAsia="de-DE"/>
        </w:rPr>
      </w:pPr>
      <w:r w:rsidRPr="00943AFC">
        <w:rPr>
          <w:rFonts w:ascii="Calibri" w:hAnsi="Calibri" w:cs="Calibri"/>
          <w:b/>
          <w:bCs/>
          <w:lang w:val="ro-RO" w:eastAsia="de-DE"/>
        </w:rPr>
        <w:t xml:space="preserve">Experții consultați au subliniat importanța măsurilor nou introduse </w:t>
      </w:r>
      <w:r w:rsidRPr="00943AFC">
        <w:rPr>
          <w:rFonts w:ascii="Calibri" w:hAnsi="Calibri" w:cs="Calibri"/>
          <w:b/>
          <w:bCs/>
          <w:lang w:val="ro-RO" w:eastAsia="de-DE"/>
        </w:rPr>
        <w:t xml:space="preserve">la nivel european </w:t>
      </w:r>
      <w:r w:rsidRPr="00943AFC">
        <w:rPr>
          <w:rFonts w:ascii="Calibri" w:hAnsi="Calibri" w:cs="Calibri"/>
          <w:b/>
          <w:bCs/>
          <w:lang w:val="ro-RO" w:eastAsia="de-DE"/>
        </w:rPr>
        <w:t>pentru a aborda blocajele persistente în implementare</w:t>
      </w:r>
      <w:r w:rsidRPr="00943AFC">
        <w:rPr>
          <w:rFonts w:ascii="Calibri" w:hAnsi="Calibri" w:cs="Calibri"/>
          <w:b/>
          <w:bCs/>
          <w:lang w:val="ro-RO" w:eastAsia="de-DE"/>
        </w:rPr>
        <w:t>a programelor</w:t>
      </w:r>
      <w:r w:rsidRPr="00943AFC">
        <w:rPr>
          <w:rFonts w:ascii="Calibri" w:hAnsi="Calibri" w:cs="Calibri"/>
          <w:b/>
          <w:bCs/>
          <w:lang w:val="ro-RO" w:eastAsia="de-DE"/>
        </w:rPr>
        <w:t>. Cu toate acestea, introducerea lor nu conduce automat la schimbarea dorită.</w:t>
      </w:r>
      <w:r w:rsidRPr="00943AFC">
        <w:rPr>
          <w:rFonts w:ascii="Calibri" w:hAnsi="Calibri" w:cs="Calibri"/>
          <w:lang w:val="ro-RO" w:eastAsia="de-DE"/>
        </w:rPr>
        <w:t xml:space="preserve"> Prin urmare, părțile interesate, inclusiv autoritățile de management, </w:t>
      </w:r>
      <w:r w:rsidRPr="00943AFC">
        <w:rPr>
          <w:rFonts w:ascii="Calibri" w:hAnsi="Calibri" w:cs="Calibri"/>
          <w:lang w:val="ro-RO" w:eastAsia="de-DE"/>
        </w:rPr>
        <w:t>se confruntă încă cu</w:t>
      </w:r>
      <w:r w:rsidRPr="00943AFC">
        <w:rPr>
          <w:rFonts w:ascii="Calibri" w:hAnsi="Calibri" w:cs="Calibri"/>
          <w:lang w:val="ro-RO" w:eastAsia="de-DE"/>
        </w:rPr>
        <w:t xml:space="preserve"> provocări în implementare. Unele dintre aceste provocări sunt legate de (i) demararea </w:t>
      </w:r>
      <w:r w:rsidR="00943AFC" w:rsidRPr="00943AFC">
        <w:rPr>
          <w:rFonts w:ascii="Calibri" w:hAnsi="Calibri" w:cs="Calibri"/>
          <w:lang w:val="ro-RO" w:eastAsia="de-DE"/>
        </w:rPr>
        <w:t>măsurilor de simplificare</w:t>
      </w:r>
      <w:r w:rsidRPr="00943AFC">
        <w:rPr>
          <w:rFonts w:ascii="Calibri" w:hAnsi="Calibri" w:cs="Calibri"/>
          <w:lang w:val="ro-RO" w:eastAsia="de-DE"/>
        </w:rPr>
        <w:t xml:space="preserve"> și (ii) incertitudinea impactului măsurilor de simplificare.</w:t>
      </w:r>
    </w:p>
    <w:p w14:paraId="1DCB2B3C" w14:textId="2917BE5A" w:rsidR="00AE766D" w:rsidRPr="00225D21" w:rsidRDefault="006A51E2" w:rsidP="00225D21">
      <w:pPr>
        <w:spacing w:after="120" w:line="276" w:lineRule="auto"/>
        <w:jc w:val="both"/>
        <w:rPr>
          <w:rFonts w:ascii="Calibri" w:hAnsi="Calibri" w:cs="Calibri"/>
          <w:lang w:eastAsia="de-DE"/>
        </w:rPr>
      </w:pPr>
      <w:r w:rsidRPr="00225D21">
        <w:rPr>
          <w:rFonts w:ascii="Calibri" w:hAnsi="Calibri" w:cs="Calibri"/>
          <w:lang w:eastAsia="de-DE"/>
        </w:rPr>
        <w:t>Căteva exemple sunt oferite în cele ce urmează</w:t>
      </w:r>
      <w:r w:rsidR="00B94F38" w:rsidRPr="00225D21">
        <w:rPr>
          <w:rFonts w:ascii="Calibri" w:hAnsi="Calibri" w:cs="Calibri"/>
          <w:lang w:eastAsia="de-DE"/>
        </w:rPr>
        <w:t>.</w:t>
      </w:r>
      <w:r w:rsidR="00AE766D" w:rsidRPr="00225D21">
        <w:rPr>
          <w:rFonts w:ascii="Calibri" w:hAnsi="Calibri" w:cs="Calibri"/>
          <w:lang w:eastAsia="de-DE"/>
        </w:rPr>
        <w:t xml:space="preserve"> </w:t>
      </w:r>
    </w:p>
    <w:p w14:paraId="337E304E" w14:textId="77777777" w:rsidR="00521F10" w:rsidRPr="00225D21" w:rsidRDefault="006A51E2" w:rsidP="00225D21">
      <w:pPr>
        <w:pStyle w:val="ListParagraph"/>
        <w:numPr>
          <w:ilvl w:val="0"/>
          <w:numId w:val="6"/>
        </w:numPr>
        <w:spacing w:line="276" w:lineRule="auto"/>
        <w:jc w:val="both"/>
        <w:rPr>
          <w:rFonts w:ascii="Calibri" w:hAnsi="Calibri" w:cs="Calibri"/>
        </w:rPr>
      </w:pPr>
      <w:r w:rsidRPr="00225D21">
        <w:rPr>
          <w:rFonts w:ascii="Calibri" w:hAnsi="Calibri" w:cs="Calibri"/>
          <w:b/>
          <w:bCs/>
          <w:lang w:eastAsia="de-DE"/>
        </w:rPr>
        <w:t>Măsuri de simplificare</w:t>
      </w:r>
      <w:r w:rsidR="00B94F38" w:rsidRPr="00225D21">
        <w:rPr>
          <w:rFonts w:ascii="Calibri" w:hAnsi="Calibri" w:cs="Calibri"/>
          <w:lang w:eastAsia="de-DE"/>
        </w:rPr>
        <w:t xml:space="preserve"> - </w:t>
      </w:r>
      <w:r w:rsidR="00521F10" w:rsidRPr="00225D21">
        <w:rPr>
          <w:rFonts w:ascii="Calibri" w:hAnsi="Calibri" w:cs="Calibri"/>
          <w:lang w:eastAsia="de-DE"/>
        </w:rPr>
        <w:t>Există încă incertitudine și o lipsă de înțelegere comună între autoritățile naționale cu privire la modul de aplicare a noutăților, cum ar fi cele privind opțiunile de costuri simplificate (OCS). OCS nu sunt percepute în același mod de către toate părțile interesate. Deși există aspecte pozitive, există totuși nevoia de informații pentru verificare și control și pentru stabilirea procedurilor corecte ale pistelor de audit. Abordarea FNLC reprezintă o altă măsură de simplificare, dar este rar adoptată.</w:t>
      </w:r>
    </w:p>
    <w:p w14:paraId="5DD4D29C" w14:textId="79D52D79" w:rsidR="00B80529" w:rsidRPr="00225D21" w:rsidRDefault="006A51E2" w:rsidP="00225D21">
      <w:pPr>
        <w:pStyle w:val="ListParagraph"/>
        <w:numPr>
          <w:ilvl w:val="0"/>
          <w:numId w:val="6"/>
        </w:numPr>
        <w:spacing w:line="276" w:lineRule="auto"/>
        <w:jc w:val="both"/>
        <w:rPr>
          <w:rFonts w:ascii="Calibri" w:hAnsi="Calibri" w:cs="Calibri"/>
        </w:rPr>
      </w:pPr>
      <w:r w:rsidRPr="00225D21">
        <w:rPr>
          <w:rFonts w:ascii="Calibri" w:hAnsi="Calibri" w:cs="Calibri"/>
          <w:b/>
          <w:bCs/>
        </w:rPr>
        <w:t>Condiții favorizante</w:t>
      </w:r>
      <w:r w:rsidR="00B94F38" w:rsidRPr="00225D21">
        <w:rPr>
          <w:rFonts w:ascii="Calibri" w:hAnsi="Calibri" w:cs="Calibri"/>
        </w:rPr>
        <w:t xml:space="preserve"> - </w:t>
      </w:r>
      <w:r w:rsidR="006D2FF2" w:rsidRPr="00225D21">
        <w:rPr>
          <w:rFonts w:ascii="Calibri" w:hAnsi="Calibri" w:cs="Calibri"/>
        </w:rPr>
        <w:t>Condițiile favorizante au înlocuit condiționalitățile ex-ante și, deși au avut efecte pozitive în alinierea planurilor și strategiilor naționale și regionale, ele au creat și o povară suplimentară, deoarece necesită monitorizare și actualizări constante. Situația condițiilor favorizante diferă, de asemenea, între statele membre</w:t>
      </w:r>
      <w:r w:rsidR="00AE2566" w:rsidRPr="00225D21">
        <w:rPr>
          <w:rFonts w:ascii="Calibri" w:hAnsi="Calibri" w:cs="Calibri"/>
        </w:rPr>
        <w:t>.</w:t>
      </w:r>
      <w:r w:rsidR="00DA545D" w:rsidRPr="00225D21">
        <w:rPr>
          <w:rFonts w:ascii="Calibri" w:hAnsi="Calibri" w:cs="Calibri"/>
        </w:rPr>
        <w:t xml:space="preserve"> </w:t>
      </w:r>
    </w:p>
    <w:p w14:paraId="566AEAE4" w14:textId="412BABCE" w:rsidR="004A2308" w:rsidRPr="00225D21" w:rsidRDefault="006A51E2" w:rsidP="00225D21">
      <w:pPr>
        <w:pStyle w:val="ListParagraph"/>
        <w:numPr>
          <w:ilvl w:val="0"/>
          <w:numId w:val="6"/>
        </w:numPr>
        <w:spacing w:line="276" w:lineRule="auto"/>
        <w:jc w:val="both"/>
        <w:rPr>
          <w:rFonts w:ascii="Calibri" w:hAnsi="Calibri" w:cs="Calibri"/>
        </w:rPr>
      </w:pPr>
      <w:r w:rsidRPr="00225D21">
        <w:rPr>
          <w:rFonts w:ascii="Calibri" w:hAnsi="Calibri" w:cs="Calibri"/>
          <w:b/>
          <w:bCs/>
        </w:rPr>
        <w:t>Raportare și monitorizare</w:t>
      </w:r>
      <w:r w:rsidR="00B94F38" w:rsidRPr="00225D21">
        <w:rPr>
          <w:rFonts w:ascii="Calibri" w:hAnsi="Calibri" w:cs="Calibri"/>
        </w:rPr>
        <w:t xml:space="preserve"> - </w:t>
      </w:r>
      <w:r w:rsidR="004A2308" w:rsidRPr="00225D21">
        <w:rPr>
          <w:rFonts w:ascii="Calibri" w:hAnsi="Calibri" w:cs="Calibri"/>
        </w:rPr>
        <w:t>În timp ce eliminarea cerinței privind elaborarea unui raport anual de implementare reprezintă o îmbunătățire, frecvența crescută de transmitere a informațiilor privind indicatorii financiari, de realizare și de rezultat, precum și asupra operațiunilor selectate, reprezintă o povară suplimentară. Acest lucru se datorează și nevoii de capacități adecvate și ajustări ad-hoc ale sistemelor informatice și de date, care nu erau întotdeauna pregătite sau actualizate la începutul implementării programului. Evaluarea ex-ante nu mai e</w:t>
      </w:r>
      <w:r w:rsidR="00405857" w:rsidRPr="00225D21">
        <w:rPr>
          <w:rFonts w:ascii="Calibri" w:hAnsi="Calibri" w:cs="Calibri"/>
        </w:rPr>
        <w:t>ste</w:t>
      </w:r>
      <w:r w:rsidR="004A2308" w:rsidRPr="00225D21">
        <w:rPr>
          <w:rFonts w:ascii="Calibri" w:hAnsi="Calibri" w:cs="Calibri"/>
        </w:rPr>
        <w:t xml:space="preserve"> necesară la nivel de program. Prin urmare, în unele cazuri, acest lucru ar putea explica de ce programele au trecut cu vederea anumite provocări de implementare, de exemplu </w:t>
      </w:r>
      <w:r w:rsidR="00405857" w:rsidRPr="00225D21">
        <w:rPr>
          <w:rFonts w:ascii="Calibri" w:hAnsi="Calibri" w:cs="Calibri"/>
        </w:rPr>
        <w:t>legate de</w:t>
      </w:r>
      <w:r w:rsidR="004A2308" w:rsidRPr="00225D21">
        <w:rPr>
          <w:rFonts w:ascii="Calibri" w:hAnsi="Calibri" w:cs="Calibri"/>
        </w:rPr>
        <w:t xml:space="preserve"> capacitatea administrativă necesară pentru a gestiona procedurile de colectare a datelor și raportare la nivel de proiect, în special pentru indicatorii de rezultat.</w:t>
      </w:r>
    </w:p>
    <w:p w14:paraId="17BEE3A7" w14:textId="77AECBC7" w:rsidR="00064591" w:rsidRPr="00225D21" w:rsidRDefault="002075FC" w:rsidP="00225D21">
      <w:pPr>
        <w:pStyle w:val="ListParagraph"/>
        <w:numPr>
          <w:ilvl w:val="0"/>
          <w:numId w:val="6"/>
        </w:numPr>
        <w:spacing w:after="120" w:line="276" w:lineRule="auto"/>
        <w:contextualSpacing w:val="0"/>
        <w:jc w:val="both"/>
        <w:rPr>
          <w:rFonts w:ascii="Calibri" w:hAnsi="Calibri" w:cs="Calibri"/>
        </w:rPr>
      </w:pPr>
      <w:r w:rsidRPr="00225D21">
        <w:rPr>
          <w:rFonts w:ascii="Calibri" w:hAnsi="Calibri" w:cs="Calibri"/>
          <w:b/>
          <w:lang w:val="ro-RO"/>
        </w:rPr>
        <w:t xml:space="preserve">Guvernare și coordonare pe mai multe niveluri </w:t>
      </w:r>
      <w:r w:rsidR="00951834" w:rsidRPr="00225D21">
        <w:rPr>
          <w:rFonts w:ascii="Calibri" w:hAnsi="Calibri" w:cs="Calibri"/>
        </w:rPr>
        <w:t>–</w:t>
      </w:r>
      <w:r w:rsidR="00EE3E8F" w:rsidRPr="00225D21">
        <w:rPr>
          <w:rFonts w:ascii="Calibri" w:hAnsi="Calibri" w:cs="Calibri"/>
        </w:rPr>
        <w:t xml:space="preserve"> </w:t>
      </w:r>
      <w:r w:rsidR="00EB153A" w:rsidRPr="00225D21">
        <w:rPr>
          <w:rFonts w:ascii="Calibri" w:hAnsi="Calibri" w:cs="Calibri"/>
          <w:bCs/>
          <w:lang w:val="ro-RO"/>
        </w:rPr>
        <w:t xml:space="preserve">Guvernanța pe mai multe niveluri este un principiu cheie al Politicii de Coeziune a UE, fiind esențială pentru implementarea programelor </w:t>
      </w:r>
      <w:r w:rsidR="00EB153A" w:rsidRPr="00225D21">
        <w:rPr>
          <w:rFonts w:ascii="Calibri" w:hAnsi="Calibri" w:cs="Calibri"/>
          <w:bCs/>
          <w:lang w:val="ro-RO"/>
        </w:rPr>
        <w:lastRenderedPageBreak/>
        <w:t>regionale, care adoptă mai multe soluții de implementare la nivel teritorial (de exemplu, ITI, CLLD)</w:t>
      </w:r>
      <w:r w:rsidR="00EB153A" w:rsidRPr="00225D21">
        <w:rPr>
          <w:rFonts w:ascii="Calibri" w:hAnsi="Calibri" w:cs="Calibri"/>
          <w:b/>
          <w:lang w:val="ro-RO"/>
        </w:rPr>
        <w:t xml:space="preserve"> </w:t>
      </w:r>
      <w:r w:rsidR="00EB153A" w:rsidRPr="00225D21">
        <w:rPr>
          <w:rFonts w:ascii="Calibri" w:hAnsi="Calibri" w:cs="Calibri"/>
          <w:bCs/>
          <w:lang w:val="ro-RO"/>
        </w:rPr>
        <w:t>care implică orașe, județe și administrații publice locale</w:t>
      </w:r>
      <w:r w:rsidR="00EB153A" w:rsidRPr="00225D21">
        <w:rPr>
          <w:rFonts w:ascii="Calibri" w:hAnsi="Calibri" w:cs="Calibri"/>
          <w:bCs/>
          <w:lang w:val="ro-RO"/>
        </w:rPr>
        <w:t xml:space="preserve">. </w:t>
      </w:r>
      <w:r w:rsidR="00AC1AD1" w:rsidRPr="00225D21">
        <w:rPr>
          <w:rFonts w:ascii="Calibri" w:hAnsi="Calibri" w:cs="Calibri"/>
        </w:rPr>
        <w:t>Un alt aspect important este coordonarea și coerența cu alte fonduri, precum FTJ și PSLF în cazul Sud Vest Oltenia. Disponibilitatea finanțării nu este întotdeauna suficientă pentru a mobiliza partenerii locali și resursele financiare, mai ales atunci când sunt disponibile fonduri concurente cu mecanisme de implementare mai ușoare (de exemplu, granturi vs împrumuturi). În ceea ce privește coordonarea, Semestrul European definește cadrul de coordonare a politicilor menit să asigure o economie robustă și pregătită pentru viitor, vizând competitivitatea UE și prosperitatea pe termen lung. În 2019, rapoartele de țară au inclus Anexa D care detaliază punctul de vedere preliminar al serviciului Comisiei cu privire la domeniile prioritare de investiții. Mai recent, rapoartele de țară au sprijinit evaluarea intermediară pentru România. Cu toate acestea, aceste documente sunt de obicei percepute ca neacoperind neapărat specificitățile regionale. În cazul evaluării intermediare, unele recomandări sunt mai relevante</w:t>
      </w:r>
      <w:r w:rsidR="00994633" w:rsidRPr="00225D21">
        <w:rPr>
          <w:rFonts w:ascii="Calibri" w:hAnsi="Calibri" w:cs="Calibri"/>
        </w:rPr>
        <w:t xml:space="preserve"> pentru FEDR</w:t>
      </w:r>
      <w:r w:rsidR="00AC1AD1" w:rsidRPr="00225D21">
        <w:rPr>
          <w:rFonts w:ascii="Calibri" w:hAnsi="Calibri" w:cs="Calibri"/>
        </w:rPr>
        <w:t>, în timp ce altele sunt mai puțin relevante.</w:t>
      </w:r>
    </w:p>
    <w:p w14:paraId="5BBC623A" w14:textId="7E2B682E" w:rsidR="005E21B3" w:rsidRPr="00225D21" w:rsidRDefault="00225D21" w:rsidP="00225D21">
      <w:pPr>
        <w:spacing w:after="120" w:line="276" w:lineRule="auto"/>
        <w:jc w:val="both"/>
        <w:rPr>
          <w:rFonts w:ascii="Calibri" w:hAnsi="Calibri" w:cs="Calibri"/>
          <w:lang w:val="ro-RO"/>
        </w:rPr>
      </w:pPr>
      <w:r w:rsidRPr="00225D21">
        <w:rPr>
          <w:rFonts w:ascii="Calibri" w:hAnsi="Calibri" w:cs="Calibri"/>
          <w:lang w:val="ro-RO"/>
        </w:rPr>
        <w:t>În concluzie, un cadru de reglementare și procedural stabil pe întreaga perioadă de programare, împreună cu îndrumări clare și armonizate de la început, ar putea oferi beneficii semnificative în viitor.</w:t>
      </w:r>
    </w:p>
    <w:p w14:paraId="2816BAE3" w14:textId="671BED1D" w:rsidR="006C2C0C" w:rsidRPr="00D36E4E" w:rsidRDefault="005E197F" w:rsidP="00D36E4E">
      <w:pPr>
        <w:spacing w:after="120" w:line="276" w:lineRule="auto"/>
        <w:jc w:val="both"/>
        <w:rPr>
          <w:rFonts w:ascii="Calibri" w:hAnsi="Calibri" w:cs="Calibri"/>
          <w:b/>
          <w:bCs/>
        </w:rPr>
      </w:pPr>
      <w:r w:rsidRPr="00D36E4E">
        <w:rPr>
          <w:rFonts w:ascii="Calibri" w:hAnsi="Calibri" w:cs="Calibri"/>
          <w:b/>
          <w:bCs/>
        </w:rPr>
        <w:t xml:space="preserve">(2) </w:t>
      </w:r>
      <w:r w:rsidR="0049109D" w:rsidRPr="00D36E4E">
        <w:rPr>
          <w:rFonts w:ascii="Calibri" w:hAnsi="Calibri" w:cs="Calibri"/>
          <w:b/>
          <w:bCs/>
        </w:rPr>
        <w:t>Reflecții privind utilizarea câmpurilor de intervenție și contribuția PNIESC</w:t>
      </w:r>
    </w:p>
    <w:p w14:paraId="268B7A8A" w14:textId="77777777" w:rsidR="00B022AB" w:rsidRPr="00D36E4E" w:rsidRDefault="00B022AB" w:rsidP="00D36E4E">
      <w:pPr>
        <w:spacing w:after="120" w:line="276" w:lineRule="auto"/>
        <w:jc w:val="both"/>
        <w:rPr>
          <w:rFonts w:ascii="Calibri" w:hAnsi="Calibri" w:cs="Calibri"/>
        </w:rPr>
      </w:pPr>
      <w:r w:rsidRPr="00D36E4E">
        <w:rPr>
          <w:rFonts w:ascii="Calibri" w:hAnsi="Calibri" w:cs="Calibri"/>
        </w:rPr>
        <w:t>Anexa I a RDC oferă informații detaliate cu privire la contribuția așteptată a domeniilor de intervenție utilizate la nivel de program la obiectivele privind schimbările climatice și de mediu. Cu toate acestea, după cum au subliniat experții consultați în cadrul panelului, aceste coduri nu evidențiază în mod automat distincția dintre măsurile de adaptare și cele de atenuare la schimbările climatice. Contribuția fie la atenuare, fie la adaptare sau ambele poate fi derivată dintr-o analiză a obiectivelor specifice(e) la nivelul cărora sunt adoptate domeniile de intervenție.</w:t>
      </w:r>
    </w:p>
    <w:p w14:paraId="1813C1F4" w14:textId="1AEFAF68" w:rsidR="0000699D" w:rsidRPr="00D36E4E" w:rsidRDefault="0000699D" w:rsidP="00D36E4E">
      <w:pPr>
        <w:spacing w:after="120" w:line="276" w:lineRule="auto"/>
        <w:jc w:val="both"/>
        <w:rPr>
          <w:rFonts w:ascii="Calibri" w:hAnsi="Calibri" w:cs="Calibri"/>
        </w:rPr>
      </w:pPr>
      <w:r w:rsidRPr="00D36E4E">
        <w:rPr>
          <w:rFonts w:ascii="Calibri" w:hAnsi="Calibri" w:cs="Calibri"/>
        </w:rPr>
        <w:t xml:space="preserve">Domeniile de intervenție sunt utile pentru evidențierea contribuției programului la obiectivele și dimensiunile PNISEC, precum și la atenuarea și adaptarea la schimbările climatice în general, dar nu sunt suficiente în sine. Este necesar ca acestea să fie </w:t>
      </w:r>
      <w:r w:rsidRPr="00D36E4E">
        <w:rPr>
          <w:rFonts w:ascii="Calibri" w:hAnsi="Calibri" w:cs="Calibri"/>
        </w:rPr>
        <w:t>interpretate</w:t>
      </w:r>
      <w:r w:rsidRPr="00D36E4E">
        <w:rPr>
          <w:rFonts w:ascii="Calibri" w:hAnsi="Calibri" w:cs="Calibri"/>
        </w:rPr>
        <w:t xml:space="preserve"> </w:t>
      </w:r>
      <w:r w:rsidRPr="00D36E4E">
        <w:rPr>
          <w:rFonts w:ascii="Calibri" w:hAnsi="Calibri" w:cs="Calibri"/>
        </w:rPr>
        <w:t>luând în considerare și următoarele aspecte</w:t>
      </w:r>
      <w:r w:rsidRPr="00D36E4E">
        <w:rPr>
          <w:rFonts w:ascii="Calibri" w:hAnsi="Calibri" w:cs="Calibri"/>
        </w:rPr>
        <w:t>:</w:t>
      </w:r>
    </w:p>
    <w:p w14:paraId="21918113" w14:textId="27531597" w:rsidR="008B0E19" w:rsidRPr="00D36E4E" w:rsidRDefault="00947A49" w:rsidP="00D36E4E">
      <w:pPr>
        <w:pStyle w:val="ListParagraph"/>
        <w:numPr>
          <w:ilvl w:val="0"/>
          <w:numId w:val="6"/>
        </w:numPr>
        <w:spacing w:line="276" w:lineRule="auto"/>
        <w:jc w:val="both"/>
        <w:rPr>
          <w:rFonts w:ascii="Calibri" w:hAnsi="Calibri" w:cs="Calibri"/>
        </w:rPr>
      </w:pPr>
      <w:r w:rsidRPr="00D36E4E">
        <w:rPr>
          <w:rFonts w:ascii="Calibri" w:hAnsi="Calibri" w:cs="Calibri"/>
        </w:rPr>
        <w:t>Informații calitative</w:t>
      </w:r>
      <w:r w:rsidR="008B0E19" w:rsidRPr="00D36E4E">
        <w:rPr>
          <w:rFonts w:ascii="Calibri" w:hAnsi="Calibri" w:cs="Calibri"/>
        </w:rPr>
        <w:t xml:space="preserve"> (</w:t>
      </w:r>
      <w:r w:rsidRPr="00D36E4E">
        <w:rPr>
          <w:rFonts w:ascii="Calibri" w:hAnsi="Calibri" w:cs="Calibri"/>
        </w:rPr>
        <w:t>ex. Tipul de acțiuni sprijinite, operațiuni selectate</w:t>
      </w:r>
      <w:r w:rsidR="001668EE" w:rsidRPr="00D36E4E">
        <w:rPr>
          <w:rFonts w:ascii="Calibri" w:hAnsi="Calibri" w:cs="Calibri"/>
        </w:rPr>
        <w:t>),</w:t>
      </w:r>
    </w:p>
    <w:p w14:paraId="5EFD3424" w14:textId="25A1581D" w:rsidR="008B0E19" w:rsidRPr="00D36E4E" w:rsidRDefault="00947A49" w:rsidP="00D36E4E">
      <w:pPr>
        <w:pStyle w:val="ListParagraph"/>
        <w:numPr>
          <w:ilvl w:val="0"/>
          <w:numId w:val="6"/>
        </w:numPr>
        <w:spacing w:line="276" w:lineRule="auto"/>
        <w:jc w:val="both"/>
        <w:rPr>
          <w:rFonts w:ascii="Calibri" w:hAnsi="Calibri" w:cs="Calibri"/>
        </w:rPr>
      </w:pPr>
      <w:r w:rsidRPr="00D36E4E">
        <w:rPr>
          <w:rFonts w:ascii="Calibri" w:hAnsi="Calibri" w:cs="Calibri"/>
        </w:rPr>
        <w:t>Informații cantitative</w:t>
      </w:r>
      <w:r w:rsidR="008B0E19" w:rsidRPr="00D36E4E">
        <w:rPr>
          <w:rFonts w:ascii="Calibri" w:hAnsi="Calibri" w:cs="Calibri"/>
        </w:rPr>
        <w:t xml:space="preserve"> (e</w:t>
      </w:r>
      <w:r w:rsidRPr="00D36E4E">
        <w:rPr>
          <w:rFonts w:ascii="Calibri" w:hAnsi="Calibri" w:cs="Calibri"/>
        </w:rPr>
        <w:t>x. Indicatori de rezultat</w:t>
      </w:r>
      <w:r w:rsidR="008B0E19" w:rsidRPr="00D36E4E">
        <w:rPr>
          <w:rFonts w:ascii="Calibri" w:hAnsi="Calibri" w:cs="Calibri"/>
        </w:rPr>
        <w:t>)</w:t>
      </w:r>
      <w:r w:rsidR="001668EE" w:rsidRPr="00D36E4E">
        <w:rPr>
          <w:rFonts w:ascii="Calibri" w:hAnsi="Calibri" w:cs="Calibri"/>
        </w:rPr>
        <w:t>,</w:t>
      </w:r>
    </w:p>
    <w:p w14:paraId="6C4BC7FF" w14:textId="79B0503B" w:rsidR="00D55134" w:rsidRPr="00D36E4E" w:rsidRDefault="00947A49" w:rsidP="00D36E4E">
      <w:pPr>
        <w:pStyle w:val="ListParagraph"/>
        <w:numPr>
          <w:ilvl w:val="0"/>
          <w:numId w:val="6"/>
        </w:numPr>
        <w:spacing w:after="120" w:line="276" w:lineRule="auto"/>
        <w:contextualSpacing w:val="0"/>
        <w:jc w:val="both"/>
        <w:rPr>
          <w:rFonts w:ascii="Calibri" w:hAnsi="Calibri" w:cs="Calibri"/>
        </w:rPr>
      </w:pPr>
      <w:r w:rsidRPr="00D36E4E">
        <w:rPr>
          <w:rFonts w:ascii="Calibri" w:hAnsi="Calibri" w:cs="Calibri"/>
        </w:rPr>
        <w:t>Dovezi furnizate de evaluare</w:t>
      </w:r>
      <w:r w:rsidR="001668EE" w:rsidRPr="00D36E4E">
        <w:rPr>
          <w:rFonts w:ascii="Calibri" w:hAnsi="Calibri" w:cs="Calibri"/>
        </w:rPr>
        <w:t xml:space="preserve"> (</w:t>
      </w:r>
      <w:r w:rsidRPr="00D36E4E">
        <w:rPr>
          <w:rFonts w:ascii="Calibri" w:hAnsi="Calibri" w:cs="Calibri"/>
        </w:rPr>
        <w:t>ex. Interviuri, studii de caz</w:t>
      </w:r>
      <w:r w:rsidR="001668EE" w:rsidRPr="00D36E4E">
        <w:rPr>
          <w:rFonts w:ascii="Calibri" w:hAnsi="Calibri" w:cs="Calibri"/>
        </w:rPr>
        <w:t>)</w:t>
      </w:r>
      <w:r w:rsidR="00D55134" w:rsidRPr="00D36E4E">
        <w:rPr>
          <w:rFonts w:ascii="Calibri" w:hAnsi="Calibri" w:cs="Calibri"/>
        </w:rPr>
        <w:t>.</w:t>
      </w:r>
    </w:p>
    <w:p w14:paraId="11F438BD" w14:textId="56C6229D" w:rsidR="00B05133" w:rsidRPr="00D36E4E" w:rsidRDefault="00B05133" w:rsidP="00D36E4E">
      <w:pPr>
        <w:spacing w:after="120" w:line="276" w:lineRule="auto"/>
        <w:jc w:val="both"/>
        <w:rPr>
          <w:rFonts w:ascii="Calibri" w:hAnsi="Calibri" w:cs="Calibri"/>
        </w:rPr>
      </w:pPr>
      <w:r w:rsidRPr="00D36E4E">
        <w:rPr>
          <w:rFonts w:ascii="Calibri" w:hAnsi="Calibri" w:cs="Calibri"/>
        </w:rPr>
        <w:t>Această combinație este necesară cel puțin din următoarele motive: în primul rând, domeniile de intervenție acoperă dimensiunile financiare, dar nu surprind efectele. În al doilea rând, domeniile de intervenție nu oferă informații despre toate elementele de bază ale logicii de intervenție, cum ar fi acțiuni, realizări și rezultate. Mai mult, este probabil ca sistemul de monitorizare să nu conțină toate informațiile necesare. Prin urmare, investigarea suplimentară</w:t>
      </w:r>
      <w:r w:rsidR="00AF6905">
        <w:rPr>
          <w:rFonts w:ascii="Calibri" w:hAnsi="Calibri" w:cs="Calibri"/>
        </w:rPr>
        <w:t xml:space="preserve">, în cadrul procesului de evaluare, </w:t>
      </w:r>
      <w:r w:rsidRPr="00D36E4E">
        <w:rPr>
          <w:rFonts w:ascii="Calibri" w:hAnsi="Calibri" w:cs="Calibri"/>
        </w:rPr>
        <w:t>poate adăuga opinii și dovezi complementare.</w:t>
      </w:r>
      <w:r w:rsidRPr="00D36E4E">
        <w:rPr>
          <w:rFonts w:ascii="Calibri" w:hAnsi="Calibri" w:cs="Calibri"/>
        </w:rPr>
        <w:t xml:space="preserve"> </w:t>
      </w:r>
    </w:p>
    <w:p w14:paraId="356A8A2F" w14:textId="55C216DE" w:rsidR="005E197F" w:rsidRPr="00E2681A" w:rsidRDefault="005E197F" w:rsidP="00E2681A">
      <w:pPr>
        <w:spacing w:after="120" w:line="276" w:lineRule="auto"/>
        <w:jc w:val="both"/>
        <w:rPr>
          <w:rFonts w:ascii="Calibri" w:hAnsi="Calibri" w:cs="Calibri"/>
          <w:b/>
          <w:bCs/>
        </w:rPr>
      </w:pPr>
      <w:r w:rsidRPr="00E2681A">
        <w:rPr>
          <w:rFonts w:ascii="Calibri" w:hAnsi="Calibri" w:cs="Calibri"/>
          <w:b/>
          <w:bCs/>
        </w:rPr>
        <w:t xml:space="preserve">(3) </w:t>
      </w:r>
      <w:r w:rsidR="00F271A4" w:rsidRPr="00E2681A">
        <w:rPr>
          <w:rFonts w:ascii="Calibri" w:hAnsi="Calibri" w:cs="Calibri"/>
          <w:b/>
          <w:bCs/>
        </w:rPr>
        <w:t>Utilizarea indicatorilor comuni</w:t>
      </w:r>
    </w:p>
    <w:p w14:paraId="68F13367" w14:textId="1BAD10FD" w:rsidR="00F451DE" w:rsidRPr="00E2681A" w:rsidRDefault="00F451DE" w:rsidP="00E2681A">
      <w:pPr>
        <w:spacing w:after="120" w:line="276" w:lineRule="auto"/>
        <w:jc w:val="both"/>
        <w:rPr>
          <w:rFonts w:ascii="Calibri" w:hAnsi="Calibri" w:cs="Calibri"/>
          <w:lang w:val="ro-RO"/>
        </w:rPr>
      </w:pPr>
      <w:r w:rsidRPr="00E2681A">
        <w:rPr>
          <w:rFonts w:ascii="Calibri" w:hAnsi="Calibri" w:cs="Calibri"/>
          <w:lang w:val="ro-RO"/>
        </w:rPr>
        <w:lastRenderedPageBreak/>
        <w:t xml:space="preserve">Utilizarea indicatorilor comuni a crescut substanțial în comparație cu perioada de programare trecută și a fost extinsă la indicatorii de rezultat. Programul Regional </w:t>
      </w:r>
      <w:r w:rsidRPr="00E2681A">
        <w:rPr>
          <w:rFonts w:ascii="Calibri" w:hAnsi="Calibri" w:cs="Calibri"/>
          <w:lang w:val="ro-RO"/>
        </w:rPr>
        <w:t>Sud</w:t>
      </w:r>
      <w:r w:rsidRPr="00E2681A">
        <w:rPr>
          <w:rFonts w:ascii="Calibri" w:hAnsi="Calibri" w:cs="Calibri"/>
          <w:lang w:val="ro-RO"/>
        </w:rPr>
        <w:t>-Vest</w:t>
      </w:r>
      <w:r w:rsidRPr="00E2681A">
        <w:rPr>
          <w:rFonts w:ascii="Calibri" w:hAnsi="Calibri" w:cs="Calibri"/>
          <w:lang w:val="ro-RO"/>
        </w:rPr>
        <w:t xml:space="preserve"> Oltenia</w:t>
      </w:r>
      <w:r w:rsidRPr="00E2681A">
        <w:rPr>
          <w:rFonts w:ascii="Calibri" w:hAnsi="Calibri" w:cs="Calibri"/>
          <w:lang w:val="ro-RO"/>
        </w:rPr>
        <w:t xml:space="preserve"> a folosit în mare măsură indicatori comuni, deși, în unele cazuri, a folosit și indicatori specifici programului.</w:t>
      </w:r>
    </w:p>
    <w:p w14:paraId="2BF276F7" w14:textId="606B850C" w:rsidR="00DC79A0" w:rsidRPr="00E2681A" w:rsidRDefault="00DC79A0" w:rsidP="00E2681A">
      <w:pPr>
        <w:spacing w:after="120" w:line="276" w:lineRule="auto"/>
        <w:jc w:val="both"/>
        <w:rPr>
          <w:rFonts w:ascii="Calibri" w:hAnsi="Calibri" w:cs="Calibri"/>
          <w:lang w:val="ro-RO"/>
        </w:rPr>
      </w:pPr>
      <w:r w:rsidRPr="00E2681A">
        <w:rPr>
          <w:rFonts w:ascii="Calibri" w:hAnsi="Calibri" w:cs="Calibri"/>
          <w:lang w:val="ro-RO"/>
        </w:rPr>
        <w:t xml:space="preserve">Pentru </w:t>
      </w:r>
      <w:r w:rsidRPr="00E2681A">
        <w:rPr>
          <w:rFonts w:ascii="Calibri" w:hAnsi="Calibri" w:cs="Calibri"/>
          <w:lang w:val="ro-RO"/>
        </w:rPr>
        <w:t>anumiți</w:t>
      </w:r>
      <w:r w:rsidRPr="00E2681A">
        <w:rPr>
          <w:rFonts w:ascii="Calibri" w:hAnsi="Calibri" w:cs="Calibri"/>
          <w:lang w:val="ro-RO"/>
        </w:rPr>
        <w:t xml:space="preserve"> indicatori comuni, utilizarea și adoptarea lor a evidențiat unele provocări relevante în implementare, în alte țări ale UE. </w:t>
      </w:r>
    </w:p>
    <w:p w14:paraId="0FCAAD1D" w14:textId="77777777" w:rsidR="00DC79A0" w:rsidRPr="00E2681A" w:rsidRDefault="00DC79A0" w:rsidP="00E2681A">
      <w:pPr>
        <w:pStyle w:val="ListParagraph"/>
        <w:numPr>
          <w:ilvl w:val="0"/>
          <w:numId w:val="22"/>
        </w:numPr>
        <w:spacing w:after="0" w:line="276" w:lineRule="auto"/>
        <w:ind w:left="714" w:hanging="357"/>
        <w:contextualSpacing w:val="0"/>
        <w:jc w:val="both"/>
        <w:rPr>
          <w:rFonts w:ascii="Calibri" w:hAnsi="Calibri" w:cs="Calibri"/>
          <w:lang w:val="ro-RO"/>
        </w:rPr>
      </w:pPr>
      <w:r w:rsidRPr="00E2681A">
        <w:rPr>
          <w:rFonts w:ascii="Calibri" w:hAnsi="Calibri" w:cs="Calibri"/>
          <w:lang w:val="ro-RO"/>
        </w:rPr>
        <w:t xml:space="preserve">De exemplu, monitorizarea anumitor indicatori de rezultat, în unele cazuri, nu va fi posibilă la nivel de operațiune, ci doar la nivelul RSO. </w:t>
      </w:r>
    </w:p>
    <w:p w14:paraId="6D5FDAAB" w14:textId="77777777" w:rsidR="00DC79A0" w:rsidRPr="00E2681A" w:rsidRDefault="00DC79A0" w:rsidP="00E2681A">
      <w:pPr>
        <w:pStyle w:val="ListParagraph"/>
        <w:numPr>
          <w:ilvl w:val="0"/>
          <w:numId w:val="22"/>
        </w:numPr>
        <w:spacing w:after="120" w:line="276" w:lineRule="auto"/>
        <w:contextualSpacing w:val="0"/>
        <w:jc w:val="both"/>
        <w:rPr>
          <w:rFonts w:ascii="Calibri" w:hAnsi="Calibri" w:cs="Calibri"/>
          <w:lang w:val="ro-RO"/>
        </w:rPr>
      </w:pPr>
      <w:r w:rsidRPr="00E2681A">
        <w:rPr>
          <w:rFonts w:ascii="Calibri" w:hAnsi="Calibri" w:cs="Calibri"/>
          <w:lang w:val="ro-RO"/>
        </w:rPr>
        <w:t xml:space="preserve">În alte cazuri, monitorizarea indicatorilor de rezultat se va baza exclusiv pe informații furnizate direct de o sursă externă, cum ar fi beneficiarul. Această abordare va face mai dificilă izolarea contribuției operațiunii la valorificarea indicatorului. </w:t>
      </w:r>
    </w:p>
    <w:p w14:paraId="7A1BF17B" w14:textId="755E6172" w:rsidR="00B93E8A" w:rsidRPr="00247C78" w:rsidRDefault="00B93E8A" w:rsidP="00646A72">
      <w:pPr>
        <w:spacing w:after="120" w:line="276" w:lineRule="auto"/>
        <w:jc w:val="both"/>
        <w:rPr>
          <w:rFonts w:ascii="Calibri" w:hAnsi="Calibri" w:cs="Calibri"/>
          <w:lang w:val="ro-RO"/>
        </w:rPr>
      </w:pPr>
      <w:r w:rsidRPr="00247C78">
        <w:rPr>
          <w:rFonts w:ascii="Calibri" w:hAnsi="Calibri" w:cs="Calibri"/>
          <w:lang w:val="ro-RO"/>
        </w:rPr>
        <w:t xml:space="preserve">Aceste provocări pot apărea pentru indicatorii care măsoară utilizarea bunurilor și serviciilor îmbunătățite prin sprijinul programului, cum ar fi utilizatorii pistelor pentru biciclete (RCR64), transportul public (RCR62), drumurile (RCR55), produsele și procesele de servicii digitale (RCR11) și vizitatorii site-urilor culturale și turistice (RCR77). În timpul fazei de programare, estimările pentru valoarea de referință și ținte s-au bazat de obicei pe date statistice sau informații de la furnizorii de servicii. Ca </w:t>
      </w:r>
      <w:r w:rsidR="00386D65" w:rsidRPr="00247C78">
        <w:rPr>
          <w:rFonts w:ascii="Calibri" w:hAnsi="Calibri" w:cs="Calibri"/>
          <w:lang w:val="ro-RO"/>
        </w:rPr>
        <w:t>rezultat,</w:t>
      </w:r>
      <w:r w:rsidRPr="00247C78">
        <w:rPr>
          <w:rFonts w:ascii="Calibri" w:hAnsi="Calibri" w:cs="Calibri"/>
          <w:lang w:val="ro-RO"/>
        </w:rPr>
        <w:t xml:space="preserve"> monitorizarea la nivelul operațiunii în timpul implementării programului poate fi o provocare, deoarece informațiile pot exista la nivel centralizat sau la furnizorul de servicii, dar nu la nivelul operațiunilor sau infrastructurii individuale (de exemplu, material rulant unic, servicii IT, drumuri, piste pentru biciclete). Atunci când astfel de informații există, acestea sunt de obicei gestionate de beneficiar, iar Autoritatea de Management (AM) poate să nu aibă acces la acestea, </w:t>
      </w:r>
      <w:r w:rsidR="00C31F8B" w:rsidRPr="00247C78">
        <w:rPr>
          <w:rFonts w:ascii="Calibri" w:hAnsi="Calibri" w:cs="Calibri"/>
          <w:lang w:val="ro-RO"/>
        </w:rPr>
        <w:t>astfel că</w:t>
      </w:r>
      <w:r w:rsidRPr="00247C78">
        <w:rPr>
          <w:rFonts w:ascii="Calibri" w:hAnsi="Calibri" w:cs="Calibri"/>
          <w:lang w:val="ro-RO"/>
        </w:rPr>
        <w:t xml:space="preserve"> procesul de verificare</w:t>
      </w:r>
      <w:r w:rsidR="00C31F8B" w:rsidRPr="00247C78">
        <w:rPr>
          <w:rFonts w:ascii="Calibri" w:hAnsi="Calibri" w:cs="Calibri"/>
          <w:lang w:val="ro-RO"/>
        </w:rPr>
        <w:t xml:space="preserve"> se complică</w:t>
      </w:r>
      <w:r w:rsidRPr="00247C78">
        <w:rPr>
          <w:rFonts w:ascii="Calibri" w:hAnsi="Calibri" w:cs="Calibri"/>
          <w:lang w:val="ro-RO"/>
        </w:rPr>
        <w:t>. Din acest motiv, se recomandă un plan de monitorizare ad-hoc – în special unul care include instruire pentru personalul beneficiar</w:t>
      </w:r>
      <w:r w:rsidR="00590BD4" w:rsidRPr="00247C78">
        <w:rPr>
          <w:rFonts w:ascii="Calibri" w:hAnsi="Calibri" w:cs="Calibri"/>
          <w:lang w:val="ro-RO"/>
        </w:rPr>
        <w:t>ilor</w:t>
      </w:r>
      <w:r w:rsidRPr="00247C78">
        <w:rPr>
          <w:rFonts w:ascii="Calibri" w:hAnsi="Calibri" w:cs="Calibri"/>
          <w:lang w:val="ro-RO"/>
        </w:rPr>
        <w:t xml:space="preserve"> – pentru a se asigura că sistemul de monitorizare oferă informații fiabile și sprijină în mod eficient înțelegerea efectelor programului asupra teritoriului.</w:t>
      </w:r>
    </w:p>
    <w:p w14:paraId="7772C476" w14:textId="11FE35C6" w:rsidR="00226B5A" w:rsidRPr="00646A72" w:rsidRDefault="00226B5A" w:rsidP="00646A72">
      <w:pPr>
        <w:spacing w:after="120" w:line="276" w:lineRule="auto"/>
        <w:jc w:val="both"/>
        <w:rPr>
          <w:rFonts w:ascii="Calibri" w:hAnsi="Calibri" w:cs="Calibri"/>
          <w:b/>
          <w:bCs/>
        </w:rPr>
      </w:pPr>
      <w:r w:rsidRPr="00646A72">
        <w:rPr>
          <w:rFonts w:ascii="Calibri" w:hAnsi="Calibri" w:cs="Calibri"/>
          <w:b/>
          <w:bCs/>
        </w:rPr>
        <w:t xml:space="preserve">(4) </w:t>
      </w:r>
      <w:r w:rsidR="00A366A1" w:rsidRPr="00646A72">
        <w:rPr>
          <w:rFonts w:ascii="Calibri" w:hAnsi="Calibri" w:cs="Calibri"/>
          <w:b/>
          <w:bCs/>
        </w:rPr>
        <w:t>Sugestii privind PNIESC și PEDS</w:t>
      </w:r>
    </w:p>
    <w:p w14:paraId="0F526EF5" w14:textId="322F87D4" w:rsidR="00434B6F" w:rsidRPr="00646A72" w:rsidRDefault="00434B6F" w:rsidP="00646A72">
      <w:pPr>
        <w:spacing w:after="120" w:line="276" w:lineRule="auto"/>
        <w:jc w:val="both"/>
        <w:rPr>
          <w:rFonts w:ascii="Calibri" w:hAnsi="Calibri" w:cs="Calibri"/>
        </w:rPr>
      </w:pPr>
      <w:r w:rsidRPr="00434B6F">
        <w:rPr>
          <w:rFonts w:ascii="Calibri" w:hAnsi="Calibri" w:cs="Calibri"/>
        </w:rPr>
        <w:t>În urma organizării panelului de experți, următoarele elemente pot fi luate în considerare pentru a crește coerența programului și contribuția la dimensiunile PNIESC</w:t>
      </w:r>
      <w:r>
        <w:rPr>
          <w:rFonts w:ascii="Calibri" w:hAnsi="Calibri" w:cs="Calibri"/>
        </w:rPr>
        <w:t xml:space="preserve"> și principiile PEDS</w:t>
      </w:r>
      <w:r w:rsidRPr="00434B6F">
        <w:rPr>
          <w:rFonts w:ascii="Calibri" w:hAnsi="Calibri" w:cs="Calibri"/>
        </w:rPr>
        <w:t>.</w:t>
      </w:r>
    </w:p>
    <w:p w14:paraId="619C6B9C" w14:textId="69B08E52" w:rsidR="00475E46" w:rsidRPr="00646A72" w:rsidRDefault="00475E46" w:rsidP="00646A72">
      <w:pPr>
        <w:pStyle w:val="ListParagraph"/>
        <w:numPr>
          <w:ilvl w:val="0"/>
          <w:numId w:val="9"/>
        </w:numPr>
        <w:spacing w:line="276" w:lineRule="auto"/>
        <w:jc w:val="both"/>
        <w:rPr>
          <w:rFonts w:ascii="Calibri" w:hAnsi="Calibri" w:cs="Calibri"/>
        </w:rPr>
      </w:pPr>
      <w:r w:rsidRPr="00475E46">
        <w:rPr>
          <w:rFonts w:ascii="Calibri" w:hAnsi="Calibri" w:cs="Calibri"/>
        </w:rPr>
        <w:t>Furnizarea de dovezi de raportare privind indicatorul de rezultat PSR02 care să asigure defalcarea utilizatorilor infrastructurii educaționale pentru diferitele grupuri vulnerabile (</w:t>
      </w:r>
      <w:r w:rsidR="004B5863">
        <w:rPr>
          <w:rFonts w:ascii="Calibri" w:hAnsi="Calibri" w:cs="Calibri"/>
        </w:rPr>
        <w:t>P</w:t>
      </w:r>
      <w:r w:rsidRPr="00475E46">
        <w:rPr>
          <w:rFonts w:ascii="Calibri" w:hAnsi="Calibri" w:cs="Calibri"/>
        </w:rPr>
        <w:t>rioritatea 6, OS d(ii)).</w:t>
      </w:r>
    </w:p>
    <w:p w14:paraId="3BFF111D" w14:textId="17FF52A5" w:rsidR="00644A20" w:rsidRPr="00646A72" w:rsidRDefault="003532F7" w:rsidP="00646A72">
      <w:pPr>
        <w:pStyle w:val="ListParagraph"/>
        <w:numPr>
          <w:ilvl w:val="0"/>
          <w:numId w:val="9"/>
        </w:numPr>
        <w:spacing w:after="120" w:line="276" w:lineRule="auto"/>
        <w:jc w:val="both"/>
        <w:rPr>
          <w:rFonts w:ascii="Calibri" w:hAnsi="Calibri" w:cs="Calibri"/>
        </w:rPr>
      </w:pPr>
      <w:r w:rsidRPr="003532F7">
        <w:rPr>
          <w:rFonts w:ascii="Calibri" w:hAnsi="Calibri" w:cs="Calibri"/>
        </w:rPr>
        <w:t>În cazul investițiilor în infrastructură, în special în educație, nu există domenii de intervenție care se așteaptă să contribuie la schimbările climatice și la obiectivele de mediu.</w:t>
      </w:r>
      <w:r>
        <w:rPr>
          <w:rFonts w:ascii="Calibri" w:hAnsi="Calibri" w:cs="Calibri"/>
        </w:rPr>
        <w:t xml:space="preserve"> </w:t>
      </w:r>
      <w:r w:rsidR="00FA2FE7">
        <w:rPr>
          <w:rFonts w:ascii="Calibri" w:hAnsi="Calibri" w:cs="Calibri"/>
        </w:rPr>
        <w:t>Programul menționează că</w:t>
      </w:r>
      <w:r w:rsidR="00A7096B" w:rsidRPr="00646A72">
        <w:rPr>
          <w:rFonts w:ascii="Calibri" w:hAnsi="Calibri" w:cs="Calibri"/>
        </w:rPr>
        <w:t xml:space="preserve"> “activitățile care vor viza construcția/extinderea sau renovarea infrastructurii educaționale vor respecta prevederile legale privind performanța energetică a clădirilor”. </w:t>
      </w:r>
      <w:r w:rsidR="00712439">
        <w:rPr>
          <w:rFonts w:ascii="Calibri" w:hAnsi="Calibri" w:cs="Calibri"/>
        </w:rPr>
        <w:t>Același</w:t>
      </w:r>
      <w:r w:rsidR="00712439" w:rsidRPr="00712439">
        <w:rPr>
          <w:rFonts w:ascii="Calibri" w:hAnsi="Calibri" w:cs="Calibri"/>
        </w:rPr>
        <w:t xml:space="preserve"> principiu se aplică intervențiilor asupra clădirilor din cadrul RSO 5.1 și 5.2. Programul ar putea lua în considerare</w:t>
      </w:r>
      <w:r w:rsidR="00712439">
        <w:rPr>
          <w:rFonts w:ascii="Calibri" w:hAnsi="Calibri" w:cs="Calibri"/>
        </w:rPr>
        <w:t>:</w:t>
      </w:r>
    </w:p>
    <w:p w14:paraId="4E109C3E" w14:textId="7A47F700" w:rsidR="003402AC" w:rsidRDefault="003402AC" w:rsidP="00646A72">
      <w:pPr>
        <w:pStyle w:val="ListParagraph"/>
        <w:numPr>
          <w:ilvl w:val="1"/>
          <w:numId w:val="9"/>
        </w:numPr>
        <w:spacing w:after="120" w:line="276" w:lineRule="auto"/>
        <w:jc w:val="both"/>
        <w:rPr>
          <w:rFonts w:ascii="Calibri" w:hAnsi="Calibri" w:cs="Calibri"/>
        </w:rPr>
      </w:pPr>
      <w:r w:rsidRPr="003402AC">
        <w:rPr>
          <w:rFonts w:ascii="Calibri" w:hAnsi="Calibri" w:cs="Calibri"/>
        </w:rPr>
        <w:lastRenderedPageBreak/>
        <w:t>pentru viitoarele apeluri de proiecte s-ar putea lua în considerare acordarea de puncte suplimentare pentru propunerile de proiecte care contribuie la creșterea eficienței energetice;</w:t>
      </w:r>
    </w:p>
    <w:p w14:paraId="06427997" w14:textId="6DCCEC18" w:rsidR="002F1AFD" w:rsidRPr="00646A72" w:rsidRDefault="002F1AFD" w:rsidP="00646A72">
      <w:pPr>
        <w:pStyle w:val="ListParagraph"/>
        <w:numPr>
          <w:ilvl w:val="1"/>
          <w:numId w:val="9"/>
        </w:numPr>
        <w:spacing w:after="120" w:line="276" w:lineRule="auto"/>
        <w:jc w:val="both"/>
        <w:rPr>
          <w:rFonts w:ascii="Calibri" w:hAnsi="Calibri" w:cs="Calibri"/>
        </w:rPr>
      </w:pPr>
      <w:r w:rsidRPr="002F1AFD">
        <w:rPr>
          <w:rFonts w:ascii="Calibri" w:hAnsi="Calibri" w:cs="Calibri"/>
        </w:rPr>
        <w:t>o colectarea de informații/raportarea la nivelul operațiunilor individuale, a beneficiilor din punct de vedere al eficienței energetice, care să evidențieze contribuția la dimensiunile PNIESC: acest lucru ar putea fi realizat prin activități de monitorizare/raportare sau pe bază de eșantion, prin activități viitoare de evaluare.</w:t>
      </w:r>
    </w:p>
    <w:p w14:paraId="16D625D4" w14:textId="7A278F30" w:rsidR="00F469D3" w:rsidRPr="00646A72" w:rsidRDefault="00C838F5" w:rsidP="0065329C">
      <w:pPr>
        <w:pStyle w:val="ListParagraph"/>
        <w:numPr>
          <w:ilvl w:val="0"/>
          <w:numId w:val="9"/>
        </w:numPr>
        <w:spacing w:after="120" w:line="276" w:lineRule="auto"/>
        <w:ind w:left="714" w:hanging="357"/>
        <w:contextualSpacing w:val="0"/>
        <w:jc w:val="both"/>
        <w:rPr>
          <w:rFonts w:ascii="Calibri" w:hAnsi="Calibri" w:cs="Calibri"/>
        </w:rPr>
      </w:pPr>
      <w:r w:rsidRPr="00C838F5">
        <w:rPr>
          <w:rFonts w:ascii="Calibri" w:hAnsi="Calibri" w:cs="Calibri"/>
        </w:rPr>
        <w:t xml:space="preserve">Definirea unor criterii ad-hoc de atribuire (de exemplu, atribuirea de puncte suplimentare) și/sau colectarea, prin activitățile de monitorizare, a dovezilor cu privire la accesul persoanelor cu dizabilități. Acest lucru ar putea fi aplicabil intervențiilor </w:t>
      </w:r>
      <w:r w:rsidR="00FD2AB0">
        <w:rPr>
          <w:rFonts w:ascii="Calibri" w:hAnsi="Calibri" w:cs="Calibri"/>
        </w:rPr>
        <w:t>care vizează</w:t>
      </w:r>
      <w:r w:rsidR="00BC3588" w:rsidRPr="00646A72">
        <w:rPr>
          <w:rFonts w:ascii="Calibri" w:hAnsi="Calibri" w:cs="Calibri"/>
        </w:rPr>
        <w:t>:</w:t>
      </w:r>
    </w:p>
    <w:p w14:paraId="23B2A47D" w14:textId="31DF44C0" w:rsidR="00F469D3" w:rsidRPr="00646A72" w:rsidRDefault="00FD2AB0" w:rsidP="00314DA3">
      <w:pPr>
        <w:numPr>
          <w:ilvl w:val="1"/>
          <w:numId w:val="4"/>
        </w:numPr>
        <w:spacing w:after="0" w:line="276" w:lineRule="auto"/>
        <w:ind w:left="1434" w:hanging="357"/>
        <w:jc w:val="both"/>
        <w:rPr>
          <w:rFonts w:ascii="Calibri" w:hAnsi="Calibri" w:cs="Calibri"/>
        </w:rPr>
      </w:pPr>
      <w:r>
        <w:rPr>
          <w:rFonts w:ascii="Calibri" w:hAnsi="Calibri" w:cs="Calibri"/>
        </w:rPr>
        <w:t>Obiective turistice și culturale</w:t>
      </w:r>
      <w:r w:rsidR="00C525A8" w:rsidRPr="00646A72">
        <w:rPr>
          <w:rFonts w:ascii="Calibri" w:hAnsi="Calibri" w:cs="Calibri"/>
        </w:rPr>
        <w:t xml:space="preserve"> (</w:t>
      </w:r>
      <w:r>
        <w:rPr>
          <w:rFonts w:ascii="Calibri" w:hAnsi="Calibri" w:cs="Calibri"/>
        </w:rPr>
        <w:t>Prioritatea</w:t>
      </w:r>
      <w:r w:rsidR="00C525A8" w:rsidRPr="00646A72">
        <w:rPr>
          <w:rFonts w:ascii="Calibri" w:hAnsi="Calibri" w:cs="Calibri"/>
        </w:rPr>
        <w:t xml:space="preserve"> 7 OS e(i), OS e(ii)</w:t>
      </w:r>
      <w:r w:rsidR="00A931B4" w:rsidRPr="00646A72">
        <w:rPr>
          <w:rFonts w:ascii="Calibri" w:hAnsi="Calibri" w:cs="Calibri"/>
        </w:rPr>
        <w:t>);</w:t>
      </w:r>
    </w:p>
    <w:p w14:paraId="310AF101" w14:textId="55691A24" w:rsidR="00730FC7" w:rsidRPr="00646A72" w:rsidRDefault="00314DA3" w:rsidP="0065329C">
      <w:pPr>
        <w:numPr>
          <w:ilvl w:val="1"/>
          <w:numId w:val="4"/>
        </w:numPr>
        <w:spacing w:after="0" w:line="276" w:lineRule="auto"/>
        <w:ind w:left="1434" w:hanging="357"/>
        <w:jc w:val="both"/>
        <w:rPr>
          <w:rFonts w:ascii="Calibri" w:hAnsi="Calibri" w:cs="Calibri"/>
        </w:rPr>
      </w:pPr>
      <w:r>
        <w:rPr>
          <w:rFonts w:ascii="Calibri" w:hAnsi="Calibri" w:cs="Calibri"/>
        </w:rPr>
        <w:t>Servicii primare, precum transportul public</w:t>
      </w:r>
      <w:r w:rsidR="00F469D3" w:rsidRPr="00646A72">
        <w:rPr>
          <w:rFonts w:ascii="Calibri" w:hAnsi="Calibri" w:cs="Calibri"/>
        </w:rPr>
        <w:t xml:space="preserve"> (</w:t>
      </w:r>
      <w:r>
        <w:rPr>
          <w:rFonts w:ascii="Calibri" w:hAnsi="Calibri" w:cs="Calibri"/>
        </w:rPr>
        <w:t>P</w:t>
      </w:r>
      <w:r w:rsidR="00F469D3" w:rsidRPr="00646A72">
        <w:rPr>
          <w:rFonts w:ascii="Calibri" w:hAnsi="Calibri" w:cs="Calibri"/>
        </w:rPr>
        <w:t>riorit</w:t>
      </w:r>
      <w:r>
        <w:rPr>
          <w:rFonts w:ascii="Calibri" w:hAnsi="Calibri" w:cs="Calibri"/>
        </w:rPr>
        <w:t>atea</w:t>
      </w:r>
      <w:r w:rsidR="00A931B4" w:rsidRPr="00646A72">
        <w:rPr>
          <w:rFonts w:ascii="Calibri" w:hAnsi="Calibri" w:cs="Calibri"/>
        </w:rPr>
        <w:t xml:space="preserve"> 4 OS b(viii).</w:t>
      </w:r>
    </w:p>
    <w:p w14:paraId="1D1B7DC9" w14:textId="104CC482" w:rsidR="007A6D65" w:rsidRPr="00646A72" w:rsidRDefault="007A6D65" w:rsidP="00646A72">
      <w:pPr>
        <w:pStyle w:val="ListParagraph"/>
        <w:numPr>
          <w:ilvl w:val="0"/>
          <w:numId w:val="9"/>
        </w:numPr>
        <w:spacing w:line="276" w:lineRule="auto"/>
        <w:jc w:val="both"/>
        <w:rPr>
          <w:rFonts w:ascii="Calibri" w:hAnsi="Calibri" w:cs="Calibri"/>
        </w:rPr>
      </w:pPr>
      <w:r w:rsidRPr="007A6D65">
        <w:rPr>
          <w:rFonts w:ascii="Calibri" w:hAnsi="Calibri" w:cs="Calibri"/>
        </w:rPr>
        <w:t>Crearea de locuri de muncă este un element cheie în programele care vizează locuri de muncă și creștere economică. Pe lângă utilizarea RCR01 sau RCR102, s-ar putea lua în considerare includerea unor criterii de atribuire ad-hoc în alte apeluri de proiecte și obiective specifice care nu utilizează acești doi indicatori. Acest lucru ar sublinia și mai mult accentul pus de program pe crearea de locuri de muncă. În plus, în cazul în care RCR01 și RCR102 sunt monitoriza</w:t>
      </w:r>
      <w:r w:rsidR="00CC50DD">
        <w:rPr>
          <w:rFonts w:ascii="Calibri" w:hAnsi="Calibri" w:cs="Calibri"/>
        </w:rPr>
        <w:t>ți</w:t>
      </w:r>
      <w:r w:rsidRPr="007A6D65">
        <w:rPr>
          <w:rFonts w:ascii="Calibri" w:hAnsi="Calibri" w:cs="Calibri"/>
        </w:rPr>
        <w:t>, informațiile privind ocuparea forței de muncă în rândul femeilor și a tinerilor ar putea fi colectate, cel puțin pe bază de eșantion, și/sau prin sondaje ad-hoc sau activități de evaluare.</w:t>
      </w:r>
    </w:p>
    <w:p w14:paraId="3E5C00E5" w14:textId="28934507" w:rsidR="00480A07" w:rsidRPr="00646A72" w:rsidRDefault="00480A07" w:rsidP="00646A72">
      <w:pPr>
        <w:pStyle w:val="ListParagraph"/>
        <w:numPr>
          <w:ilvl w:val="0"/>
          <w:numId w:val="9"/>
        </w:numPr>
        <w:spacing w:line="276" w:lineRule="auto"/>
        <w:jc w:val="both"/>
        <w:rPr>
          <w:rFonts w:ascii="Calibri" w:hAnsi="Calibri" w:cs="Calibri"/>
        </w:rPr>
      </w:pPr>
      <w:r w:rsidRPr="00480A07">
        <w:rPr>
          <w:rFonts w:ascii="Calibri" w:hAnsi="Calibri" w:cs="Calibri"/>
        </w:rPr>
        <w:t>Utilizarea domeniilor de specializare inteligentă pentru operațiunile RSO a(i) și a(iv) poate contribui la clasificarea contribuției programului la dimensiunile PNIESC și PEDS. Domeniile de specializare inteligentă sunt „Sisteme de transport, Inginerie industrială și materiale, Agro-alimentar, ITC și Digitalizare, Industrii creative și 2 domenii orizontale: Economia verde și Economia circulară”. Unele dintre acestea au o contribuție clară la PNIESC (de exemplu, Economia verde, Sisteme de transport), altele ar putea contribui la anumite principii ale PEDS (ITC și digitalizare).</w:t>
      </w:r>
    </w:p>
    <w:p w14:paraId="6BEF9D39" w14:textId="0F3968E4" w:rsidR="00A878D5" w:rsidRPr="00646A72" w:rsidRDefault="00A878D5" w:rsidP="00646A72">
      <w:pPr>
        <w:pStyle w:val="ListParagraph"/>
        <w:numPr>
          <w:ilvl w:val="0"/>
          <w:numId w:val="9"/>
        </w:numPr>
        <w:spacing w:line="276" w:lineRule="auto"/>
        <w:jc w:val="both"/>
        <w:rPr>
          <w:rFonts w:ascii="Calibri" w:hAnsi="Calibri" w:cs="Calibri"/>
        </w:rPr>
      </w:pPr>
      <w:r w:rsidRPr="00A878D5">
        <w:rPr>
          <w:rFonts w:ascii="Calibri" w:hAnsi="Calibri" w:cs="Calibri"/>
        </w:rPr>
        <w:t>În cazul RCR98 și PSR01,</w:t>
      </w:r>
      <w:r w:rsidR="00CD5F07">
        <w:rPr>
          <w:rFonts w:ascii="Calibri" w:hAnsi="Calibri" w:cs="Calibri"/>
        </w:rPr>
        <w:t xml:space="preserve"> prin care este</w:t>
      </w:r>
      <w:r w:rsidR="00CD5F07" w:rsidRPr="00A878D5">
        <w:rPr>
          <w:rFonts w:ascii="Calibri" w:hAnsi="Calibri" w:cs="Calibri"/>
        </w:rPr>
        <w:t xml:space="preserve"> de așteptat </w:t>
      </w:r>
      <w:r w:rsidR="00CD5F07">
        <w:rPr>
          <w:rFonts w:ascii="Calibri" w:hAnsi="Calibri" w:cs="Calibri"/>
        </w:rPr>
        <w:t xml:space="preserve">ca personalul </w:t>
      </w:r>
      <w:r w:rsidR="00CD5F07" w:rsidRPr="00A878D5">
        <w:rPr>
          <w:rFonts w:ascii="Calibri" w:hAnsi="Calibri" w:cs="Calibri"/>
        </w:rPr>
        <w:t>să fie instruit pentru competențe tehnice, manageriale, antreprenoriale, ecologice și alte competențe</w:t>
      </w:r>
      <w:r w:rsidR="00CD5F07">
        <w:rPr>
          <w:rFonts w:ascii="Calibri" w:hAnsi="Calibri" w:cs="Calibri"/>
        </w:rPr>
        <w:t>,</w:t>
      </w:r>
      <w:r w:rsidR="00AC7D86" w:rsidRPr="00AC7D86">
        <w:t xml:space="preserve"> </w:t>
      </w:r>
      <w:r w:rsidR="00AC7D86" w:rsidRPr="00AC7D86">
        <w:rPr>
          <w:rFonts w:ascii="Calibri" w:hAnsi="Calibri" w:cs="Calibri"/>
        </w:rPr>
        <w:t>se poate avea în vedere, în cadrul viitoarelor activități de evaluare a programului</w:t>
      </w:r>
      <w:r w:rsidR="00AC7D86">
        <w:rPr>
          <w:rFonts w:ascii="Calibri" w:hAnsi="Calibri" w:cs="Calibri"/>
        </w:rPr>
        <w:t xml:space="preserve"> sau prin activități de monitorizare la nivel de proiect,</w:t>
      </w:r>
      <w:r w:rsidR="004D35ED">
        <w:rPr>
          <w:rFonts w:ascii="Calibri" w:hAnsi="Calibri" w:cs="Calibri"/>
        </w:rPr>
        <w:t xml:space="preserve"> identificarea măsurii în care:</w:t>
      </w:r>
    </w:p>
    <w:p w14:paraId="0E2DE4C8" w14:textId="71187A64" w:rsidR="00E11644" w:rsidRDefault="00E11644" w:rsidP="00AE5DF9">
      <w:pPr>
        <w:numPr>
          <w:ilvl w:val="1"/>
          <w:numId w:val="4"/>
        </w:numPr>
        <w:spacing w:after="0" w:line="276" w:lineRule="auto"/>
        <w:ind w:left="1434" w:hanging="357"/>
        <w:jc w:val="both"/>
        <w:rPr>
          <w:rFonts w:ascii="Calibri" w:hAnsi="Calibri" w:cs="Calibri"/>
        </w:rPr>
      </w:pPr>
      <w:r w:rsidRPr="00E11644">
        <w:rPr>
          <w:rFonts w:ascii="Calibri" w:hAnsi="Calibri" w:cs="Calibri"/>
        </w:rPr>
        <w:t>programele de formare au avut în vedere și dezvoltarea competențelor tehnice în domeniul energiei și/sau a altor subiecte aferente PNIESC</w:t>
      </w:r>
      <w:r w:rsidR="00697470">
        <w:rPr>
          <w:rFonts w:ascii="Calibri" w:hAnsi="Calibri" w:cs="Calibri"/>
        </w:rPr>
        <w:t>;</w:t>
      </w:r>
    </w:p>
    <w:p w14:paraId="0067E44C" w14:textId="3B2B3C2D" w:rsidR="00697470" w:rsidRPr="00646A72" w:rsidRDefault="00697470" w:rsidP="00646A72">
      <w:pPr>
        <w:numPr>
          <w:ilvl w:val="1"/>
          <w:numId w:val="4"/>
        </w:numPr>
        <w:spacing w:line="276" w:lineRule="auto"/>
        <w:jc w:val="both"/>
        <w:rPr>
          <w:rFonts w:ascii="Calibri" w:hAnsi="Calibri" w:cs="Calibri"/>
        </w:rPr>
      </w:pPr>
      <w:r w:rsidRPr="00697470">
        <w:rPr>
          <w:rFonts w:ascii="Calibri" w:hAnsi="Calibri" w:cs="Calibri"/>
        </w:rPr>
        <w:t>abilitățile de management acoperă inclu</w:t>
      </w:r>
      <w:r w:rsidR="00AE5DF9">
        <w:rPr>
          <w:rFonts w:ascii="Calibri" w:hAnsi="Calibri" w:cs="Calibri"/>
        </w:rPr>
        <w:t>ziunea</w:t>
      </w:r>
      <w:r w:rsidRPr="00697470">
        <w:rPr>
          <w:rFonts w:ascii="Calibri" w:hAnsi="Calibri" w:cs="Calibri"/>
        </w:rPr>
        <w:t xml:space="preserve"> lucrătorilor și calitatea condițiilor de muncă în companii și </w:t>
      </w:r>
      <w:r w:rsidR="00AE5DF9">
        <w:rPr>
          <w:rFonts w:ascii="Calibri" w:hAnsi="Calibri" w:cs="Calibri"/>
        </w:rPr>
        <w:t>instituți</w:t>
      </w:r>
      <w:r w:rsidRPr="00697470">
        <w:rPr>
          <w:rFonts w:ascii="Calibri" w:hAnsi="Calibri" w:cs="Calibri"/>
        </w:rPr>
        <w:t>i publice în cauză</w:t>
      </w:r>
      <w:r w:rsidR="00AE5DF9">
        <w:rPr>
          <w:rFonts w:ascii="Calibri" w:hAnsi="Calibri" w:cs="Calibri"/>
        </w:rPr>
        <w:t>.</w:t>
      </w:r>
    </w:p>
    <w:p w14:paraId="7DFA5308" w14:textId="6801A2D9" w:rsidR="00730FC7" w:rsidRPr="00C00870" w:rsidRDefault="00EE0E12" w:rsidP="00C00870">
      <w:pPr>
        <w:spacing w:after="120" w:line="276" w:lineRule="auto"/>
        <w:rPr>
          <w:rFonts w:ascii="Calibri" w:hAnsi="Calibri" w:cs="Calibri"/>
          <w:b/>
          <w:bCs/>
        </w:rPr>
      </w:pPr>
      <w:r>
        <w:rPr>
          <w:b/>
          <w:bCs/>
        </w:rPr>
        <w:t>(</w:t>
      </w:r>
      <w:r w:rsidRPr="00C00870">
        <w:rPr>
          <w:rFonts w:ascii="Calibri" w:hAnsi="Calibri" w:cs="Calibri"/>
          <w:b/>
          <w:bCs/>
        </w:rPr>
        <w:t xml:space="preserve">5) </w:t>
      </w:r>
      <w:r w:rsidR="00C00870" w:rsidRPr="00C00870">
        <w:rPr>
          <w:rFonts w:ascii="Calibri" w:hAnsi="Calibri" w:cs="Calibri"/>
          <w:b/>
          <w:bCs/>
        </w:rPr>
        <w:t>Activități de evaluare viitoare</w:t>
      </w:r>
      <w:r w:rsidRPr="00C00870">
        <w:rPr>
          <w:rFonts w:ascii="Calibri" w:hAnsi="Calibri" w:cs="Calibri"/>
          <w:b/>
          <w:bCs/>
        </w:rPr>
        <w:t xml:space="preserve"> </w:t>
      </w:r>
    </w:p>
    <w:p w14:paraId="0DF427DB" w14:textId="31EDFCA8" w:rsidR="00F56530" w:rsidRPr="00C00870" w:rsidRDefault="00F56530" w:rsidP="00C00870">
      <w:pPr>
        <w:spacing w:after="120" w:line="276" w:lineRule="auto"/>
        <w:rPr>
          <w:rFonts w:ascii="Calibri" w:hAnsi="Calibri" w:cs="Calibri"/>
        </w:rPr>
      </w:pPr>
      <w:r w:rsidRPr="00F56530">
        <w:rPr>
          <w:rFonts w:ascii="Calibri" w:hAnsi="Calibri" w:cs="Calibri"/>
        </w:rPr>
        <w:t>Pe baza elementelor privind utilizarea indicatorilor și a domeniilor de intervenție, viitoarele activități de evaluare pot fi orientate și spre completarea informațiilor colectate prin sistemul de monitorizare cu  elemente specifice de interes privind PNIESC și PEDS și rezultate/concluzii transversale.</w:t>
      </w:r>
    </w:p>
    <w:p w14:paraId="601CD74F" w14:textId="0DA6AC95" w:rsidR="00EE0E12" w:rsidRPr="00C00870" w:rsidRDefault="00A35E55" w:rsidP="00411F9A">
      <w:pPr>
        <w:spacing w:after="120" w:line="276" w:lineRule="auto"/>
        <w:jc w:val="both"/>
        <w:rPr>
          <w:rFonts w:ascii="Calibri" w:hAnsi="Calibri" w:cs="Calibri"/>
        </w:rPr>
      </w:pPr>
      <w:r w:rsidRPr="00A35E55">
        <w:rPr>
          <w:rFonts w:ascii="Calibri" w:hAnsi="Calibri" w:cs="Calibri"/>
        </w:rPr>
        <w:lastRenderedPageBreak/>
        <w:t xml:space="preserve">În acest sens, experții consultați sugerează </w:t>
      </w:r>
      <w:r>
        <w:rPr>
          <w:rFonts w:ascii="Calibri" w:hAnsi="Calibri" w:cs="Calibri"/>
        </w:rPr>
        <w:t>ca</w:t>
      </w:r>
      <w:r w:rsidRPr="00A35E55">
        <w:rPr>
          <w:rFonts w:ascii="Calibri" w:hAnsi="Calibri" w:cs="Calibri"/>
        </w:rPr>
        <w:t xml:space="preserve"> evaluările viitoare </w:t>
      </w:r>
      <w:r>
        <w:rPr>
          <w:rFonts w:ascii="Calibri" w:hAnsi="Calibri" w:cs="Calibri"/>
        </w:rPr>
        <w:t>să aibă în vedere și următoarele elemente</w:t>
      </w:r>
      <w:r w:rsidR="008E5799" w:rsidRPr="00C00870">
        <w:rPr>
          <w:rFonts w:ascii="Calibri" w:hAnsi="Calibri" w:cs="Calibri"/>
        </w:rPr>
        <w:t>:</w:t>
      </w:r>
    </w:p>
    <w:p w14:paraId="4FA2E139" w14:textId="00487976" w:rsidR="00E37117" w:rsidRPr="00C00870" w:rsidRDefault="00E37117" w:rsidP="00C00870">
      <w:pPr>
        <w:pStyle w:val="ListParagraph"/>
        <w:numPr>
          <w:ilvl w:val="0"/>
          <w:numId w:val="8"/>
        </w:numPr>
        <w:spacing w:line="276" w:lineRule="auto"/>
        <w:jc w:val="both"/>
        <w:rPr>
          <w:rFonts w:ascii="Calibri" w:hAnsi="Calibri" w:cs="Calibri"/>
        </w:rPr>
      </w:pPr>
      <w:r w:rsidRPr="00E37117">
        <w:rPr>
          <w:rFonts w:ascii="Calibri" w:hAnsi="Calibri" w:cs="Calibri"/>
        </w:rPr>
        <w:t>Contribuția programului (pentru o evaluare a impactului) la atenuarea schimbărilor climatice (eficiența energetică de exemplu) și adaptarea la schimbările climatice (care este probabil limitată având în vedere că RSO 2.4 nu a fost selectat). Acest lucru este important deoarece  măsurile de atenuare și cele de adaptare la schimbările climatice sunt diferite de obicei.</w:t>
      </w:r>
    </w:p>
    <w:p w14:paraId="3B79E491" w14:textId="45969036" w:rsidR="00FF4E8F" w:rsidRPr="00C00870" w:rsidRDefault="00FF4E8F" w:rsidP="00C00870">
      <w:pPr>
        <w:pStyle w:val="ListParagraph"/>
        <w:numPr>
          <w:ilvl w:val="0"/>
          <w:numId w:val="8"/>
        </w:numPr>
        <w:spacing w:line="276" w:lineRule="auto"/>
        <w:jc w:val="both"/>
        <w:rPr>
          <w:rFonts w:ascii="Calibri" w:hAnsi="Calibri" w:cs="Calibri"/>
        </w:rPr>
      </w:pPr>
      <w:r w:rsidRPr="00FF4E8F">
        <w:rPr>
          <w:rFonts w:ascii="Calibri" w:hAnsi="Calibri" w:cs="Calibri"/>
        </w:rPr>
        <w:t>Valoarea adăugată a sprijinului programului pentru mobilitatea durabilă</w:t>
      </w:r>
    </w:p>
    <w:p w14:paraId="4160E620" w14:textId="7939B1BC" w:rsidR="00B5529C" w:rsidRPr="00C00870" w:rsidRDefault="00CF7B09" w:rsidP="00CF7B09">
      <w:pPr>
        <w:pStyle w:val="ListParagraph"/>
        <w:numPr>
          <w:ilvl w:val="0"/>
          <w:numId w:val="8"/>
        </w:numPr>
        <w:spacing w:line="276" w:lineRule="auto"/>
        <w:jc w:val="both"/>
        <w:rPr>
          <w:rFonts w:ascii="Calibri" w:hAnsi="Calibri" w:cs="Calibri"/>
        </w:rPr>
      </w:pPr>
      <w:r w:rsidRPr="00CF7B09">
        <w:rPr>
          <w:rFonts w:ascii="Calibri" w:hAnsi="Calibri" w:cs="Calibri"/>
        </w:rPr>
        <w:t xml:space="preserve">Contribuția directă a programului la </w:t>
      </w:r>
      <w:r w:rsidR="00FF7BF8">
        <w:rPr>
          <w:rFonts w:ascii="Calibri" w:hAnsi="Calibri" w:cs="Calibri"/>
        </w:rPr>
        <w:t>o parte</w:t>
      </w:r>
      <w:r w:rsidRPr="00CF7B09">
        <w:rPr>
          <w:rFonts w:ascii="Calibri" w:hAnsi="Calibri" w:cs="Calibri"/>
        </w:rPr>
        <w:t xml:space="preserve"> dintre principiile PEDS, cum ar fi egalitatea de șanse, șanse de gen, angajare activă, asistență pentru copii și minori, asistență medicală, persoane cu dizabilități și grupuri vulnerabile, locuințe și asistență pentru persoanele fără adăpost, acces la servicii primare, educație, formare și învățare pe tot parcursul vieții. Este clar că PR nu reprezintă sursa unică sau cea mai mare sursă de finanțare care acoperă aceste principii, dar înțelegerea contribuției sale directe la aceste principii poate ajuta la demarcarea fondurilor și la evidențierea valorii sale adăugate din perspectivă cantitativă și calitativă.</w:t>
      </w:r>
    </w:p>
    <w:sectPr w:rsidR="00B5529C" w:rsidRPr="00C00870" w:rsidSect="00671FD7">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3787A4" w14:textId="77777777" w:rsidR="003F4C44" w:rsidRDefault="003F4C44" w:rsidP="008C72FD">
      <w:pPr>
        <w:spacing w:after="0" w:line="240" w:lineRule="auto"/>
      </w:pPr>
      <w:r>
        <w:separator/>
      </w:r>
    </w:p>
  </w:endnote>
  <w:endnote w:type="continuationSeparator" w:id="0">
    <w:p w14:paraId="085007C2" w14:textId="77777777" w:rsidR="003F4C44" w:rsidRDefault="003F4C44" w:rsidP="008C72FD">
      <w:pPr>
        <w:spacing w:after="0" w:line="240" w:lineRule="auto"/>
      </w:pPr>
      <w:r>
        <w:continuationSeparator/>
      </w:r>
    </w:p>
  </w:endnote>
  <w:endnote w:type="continuationNotice" w:id="1">
    <w:p w14:paraId="7F57E36D" w14:textId="77777777" w:rsidR="003F4C44" w:rsidRDefault="003F4C4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Noto Sans Symbols">
    <w:altName w:val="Calibri"/>
    <w:charset w:val="00"/>
    <w:family w:val="auto"/>
    <w:pitch w:val="default"/>
  </w:font>
  <w:font w:name="Aptos Display">
    <w:charset w:val="00"/>
    <w:family w:val="swiss"/>
    <w:pitch w:val="variable"/>
    <w:sig w:usb0="20000287" w:usb1="00000003" w:usb2="00000000" w:usb3="00000000" w:csb0="0000019F" w:csb1="00000000"/>
  </w:font>
  <w:font w:name="Eastman Roman Trial">
    <w:altName w:val="Calibri"/>
    <w:panose1 w:val="00000000000000000000"/>
    <w:charset w:val="00"/>
    <w:family w:val="modern"/>
    <w:notTrueType/>
    <w:pitch w:val="variable"/>
    <w:sig w:usb0="800002A7" w:usb1="40000003" w:usb2="00000000" w:usb3="00000000" w:csb0="0000009F" w:csb1="00000000"/>
  </w:font>
  <w:font w:name="Eastman Roman Trial Extrabold">
    <w:altName w:val="Calibri"/>
    <w:panose1 w:val="00000000000000000000"/>
    <w:charset w:val="00"/>
    <w:family w:val="modern"/>
    <w:notTrueType/>
    <w:pitch w:val="variable"/>
    <w:sig w:usb0="800002A7" w:usb1="4000000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90347620"/>
      <w:docPartObj>
        <w:docPartGallery w:val="Page Numbers (Bottom of Page)"/>
        <w:docPartUnique/>
      </w:docPartObj>
    </w:sdtPr>
    <w:sdtEndPr>
      <w:rPr>
        <w:noProof/>
      </w:rPr>
    </w:sdtEndPr>
    <w:sdtContent>
      <w:p w14:paraId="42DFB64D" w14:textId="17857977" w:rsidR="008C72FD" w:rsidRDefault="0017345B" w:rsidP="0017345B">
        <w:pPr>
          <w:pStyle w:val="Footer"/>
          <w:jc w:val="right"/>
        </w:pPr>
        <w:r>
          <w:rPr>
            <w:rFonts w:ascii="Eastman Roman Trial" w:hAnsi="Eastman Roman Trial" w:cstheme="minorHAnsi"/>
            <w:noProof/>
            <w:sz w:val="28"/>
            <w:szCs w:val="28"/>
            <w:lang w:val="ro-RO"/>
          </w:rPr>
          <w:drawing>
            <wp:anchor distT="0" distB="0" distL="114300" distR="114300" simplePos="0" relativeHeight="251665408" behindDoc="0" locked="0" layoutInCell="1" allowOverlap="1" wp14:anchorId="1AD37A29" wp14:editId="3664F744">
              <wp:simplePos x="0" y="0"/>
              <wp:positionH relativeFrom="margin">
                <wp:posOffset>-1005840</wp:posOffset>
              </wp:positionH>
              <wp:positionV relativeFrom="margin">
                <wp:posOffset>9025255</wp:posOffset>
              </wp:positionV>
              <wp:extent cx="7440930" cy="259080"/>
              <wp:effectExtent l="0" t="0" r="0" b="0"/>
              <wp:wrapSquare wrapText="bothSides"/>
              <wp:docPr id="52348092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3480927" name="Picture 523480927"/>
                      <pic:cNvPicPr/>
                    </pic:nvPicPr>
                    <pic:blipFill>
                      <a:blip r:embed="rId1" cstate="print">
                        <a:extLst>
                          <a:ext uri="{28A0092B-C50C-407E-A947-70E740481C1C}">
                            <a14:useLocalDpi xmlns:a14="http://schemas.microsoft.com/office/drawing/2010/main" val="0"/>
                          </a:ext>
                        </a:extLst>
                      </a:blip>
                      <a:stretch>
                        <a:fillRect/>
                      </a:stretch>
                    </pic:blipFill>
                    <pic:spPr>
                      <a:xfrm>
                        <a:off x="0" y="0"/>
                        <a:ext cx="7440930" cy="259080"/>
                      </a:xfrm>
                      <a:prstGeom prst="rect">
                        <a:avLst/>
                      </a:prstGeom>
                    </pic:spPr>
                  </pic:pic>
                </a:graphicData>
              </a:graphic>
              <wp14:sizeRelH relativeFrom="margin">
                <wp14:pctWidth>0</wp14:pctWidth>
              </wp14:sizeRelH>
              <wp14:sizeRelV relativeFrom="margin">
                <wp14:pctHeight>0</wp14:pctHeight>
              </wp14:sizeRelV>
            </wp:anchor>
          </w:drawing>
        </w:r>
        <w:r>
          <w:rPr>
            <w:rFonts w:ascii="Eastman Roman Trial" w:hAnsi="Eastman Roman Trial" w:cstheme="minorHAnsi"/>
            <w:noProof/>
            <w:sz w:val="28"/>
            <w:szCs w:val="28"/>
            <w:lang w:val="ro-RO"/>
          </w:rPr>
          <w:drawing>
            <wp:anchor distT="0" distB="0" distL="114300" distR="114300" simplePos="0" relativeHeight="251663360" behindDoc="0" locked="0" layoutInCell="1" allowOverlap="1" wp14:anchorId="71A57DA6" wp14:editId="3BEA54F5">
              <wp:simplePos x="0" y="0"/>
              <wp:positionH relativeFrom="page">
                <wp:align>left</wp:align>
              </wp:positionH>
              <wp:positionV relativeFrom="margin">
                <wp:posOffset>7882890</wp:posOffset>
              </wp:positionV>
              <wp:extent cx="7490460" cy="1051560"/>
              <wp:effectExtent l="0" t="0" r="0" b="0"/>
              <wp:wrapSquare wrapText="bothSides"/>
              <wp:docPr id="940028845" name="Picture 1" descr="A colorful logo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0028845" name="Picture 1" descr="A colorful logo on a black background&#10;&#10;Description automatically generated"/>
                      <pic:cNvPicPr/>
                    </pic:nvPicPr>
                    <pic:blipFill rotWithShape="1">
                      <a:blip r:embed="rId2" cstate="print">
                        <a:extLst>
                          <a:ext uri="{28A0092B-C50C-407E-A947-70E740481C1C}">
                            <a14:useLocalDpi xmlns:a14="http://schemas.microsoft.com/office/drawing/2010/main" val="0"/>
                          </a:ext>
                        </a:extLst>
                      </a:blip>
                      <a:srcRect b="23862"/>
                      <a:stretch/>
                    </pic:blipFill>
                    <pic:spPr bwMode="auto">
                      <a:xfrm>
                        <a:off x="0" y="0"/>
                        <a:ext cx="7490460" cy="105156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8C72FD">
          <w:fldChar w:fldCharType="begin"/>
        </w:r>
        <w:r w:rsidR="008C72FD">
          <w:instrText xml:space="preserve"> PAGE   \* MERGEFORMAT </w:instrText>
        </w:r>
        <w:r w:rsidR="008C72FD">
          <w:fldChar w:fldCharType="separate"/>
        </w:r>
        <w:r w:rsidR="008C72FD">
          <w:rPr>
            <w:noProof/>
          </w:rPr>
          <w:t>2</w:t>
        </w:r>
        <w:r w:rsidR="008C72FD">
          <w:rPr>
            <w:noProof/>
          </w:rPr>
          <w:fldChar w:fldCharType="end"/>
        </w:r>
      </w:p>
    </w:sdtContent>
  </w:sdt>
  <w:p w14:paraId="1FFBCA3A" w14:textId="7851FFF9" w:rsidR="008C72FD" w:rsidRDefault="008C72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447B2C" w14:textId="77777777" w:rsidR="003F4C44" w:rsidRDefault="003F4C44" w:rsidP="008C72FD">
      <w:pPr>
        <w:spacing w:after="0" w:line="240" w:lineRule="auto"/>
      </w:pPr>
      <w:r>
        <w:separator/>
      </w:r>
    </w:p>
  </w:footnote>
  <w:footnote w:type="continuationSeparator" w:id="0">
    <w:p w14:paraId="31DEC6A4" w14:textId="77777777" w:rsidR="003F4C44" w:rsidRDefault="003F4C44" w:rsidP="008C72FD">
      <w:pPr>
        <w:spacing w:after="0" w:line="240" w:lineRule="auto"/>
      </w:pPr>
      <w:r>
        <w:continuationSeparator/>
      </w:r>
    </w:p>
  </w:footnote>
  <w:footnote w:type="continuationNotice" w:id="1">
    <w:p w14:paraId="6096228F" w14:textId="77777777" w:rsidR="003F4C44" w:rsidRDefault="003F4C4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A77B0" w14:textId="77777777" w:rsidR="005B7151" w:rsidRDefault="005B7151" w:rsidP="005B7151">
    <w:pPr>
      <w:ind w:left="-1440"/>
      <w:jc w:val="both"/>
      <w:rPr>
        <w:rFonts w:ascii="Eastman Roman Trial Extrabold" w:hAnsi="Eastman Roman Trial Extrabold" w:cstheme="minorHAnsi"/>
        <w:noProof/>
        <w:sz w:val="36"/>
        <w:szCs w:val="36"/>
      </w:rPr>
    </w:pPr>
    <w:r>
      <w:rPr>
        <w:rFonts w:ascii="Eastman Roman Trial" w:hAnsi="Eastman Roman Trial" w:cstheme="minorHAnsi"/>
        <w:noProof/>
        <w:lang w:val="ro-RO"/>
      </w:rPr>
      <w:drawing>
        <wp:anchor distT="0" distB="0" distL="114300" distR="114300" simplePos="0" relativeHeight="251659264" behindDoc="0" locked="0" layoutInCell="1" allowOverlap="1" wp14:anchorId="4A5E6065" wp14:editId="21A4EB25">
          <wp:simplePos x="0" y="0"/>
          <wp:positionH relativeFrom="margin">
            <wp:posOffset>-365760</wp:posOffset>
          </wp:positionH>
          <wp:positionV relativeFrom="topMargin">
            <wp:posOffset>358140</wp:posOffset>
          </wp:positionV>
          <wp:extent cx="2164080" cy="453390"/>
          <wp:effectExtent l="0" t="0" r="0" b="3810"/>
          <wp:wrapSquare wrapText="bothSides"/>
          <wp:docPr id="689873110" name="Picture 2"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9873110" name="Picture 2" descr="Blue text on a black background&#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64080" cy="453390"/>
                  </a:xfrm>
                  <a:prstGeom prst="rect">
                    <a:avLst/>
                  </a:prstGeom>
                </pic:spPr>
              </pic:pic>
            </a:graphicData>
          </a:graphic>
          <wp14:sizeRelH relativeFrom="margin">
            <wp14:pctWidth>0</wp14:pctWidth>
          </wp14:sizeRelH>
          <wp14:sizeRelV relativeFrom="margin">
            <wp14:pctHeight>0</wp14:pctHeight>
          </wp14:sizeRelV>
        </wp:anchor>
      </w:drawing>
    </w:r>
    <w:r>
      <w:rPr>
        <w:rFonts w:ascii="Eastman Roman Trial" w:hAnsi="Eastman Roman Trial" w:cstheme="minorHAnsi"/>
        <w:noProof/>
        <w:lang w:val="ro-RO"/>
      </w:rPr>
      <w:drawing>
        <wp:anchor distT="0" distB="0" distL="114300" distR="114300" simplePos="0" relativeHeight="251660288" behindDoc="0" locked="0" layoutInCell="1" allowOverlap="1" wp14:anchorId="4EDDA5DC" wp14:editId="2830C456">
          <wp:simplePos x="0" y="0"/>
          <wp:positionH relativeFrom="margin">
            <wp:posOffset>2335530</wp:posOffset>
          </wp:positionH>
          <wp:positionV relativeFrom="page">
            <wp:posOffset>220980</wp:posOffset>
          </wp:positionV>
          <wp:extent cx="1897380" cy="746760"/>
          <wp:effectExtent l="0" t="0" r="0" b="0"/>
          <wp:wrapSquare wrapText="bothSides"/>
          <wp:docPr id="77964601" name="Picture 3" descr="A blue circle with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964601" name="Picture 3" descr="A blue circle with a black background&#10;&#10;Description automatically generated"/>
                  <pic:cNvPicPr/>
                </pic:nvPicPr>
                <pic:blipFill rotWithShape="1">
                  <a:blip r:embed="rId2" cstate="print">
                    <a:extLst>
                      <a:ext uri="{28A0092B-C50C-407E-A947-70E740481C1C}">
                        <a14:useLocalDpi xmlns:a14="http://schemas.microsoft.com/office/drawing/2010/main" val="0"/>
                      </a:ext>
                    </a:extLst>
                  </a:blip>
                  <a:srcRect l="1" t="22651" r="1871" b="23205"/>
                  <a:stretch/>
                </pic:blipFill>
                <pic:spPr bwMode="auto">
                  <a:xfrm>
                    <a:off x="0" y="0"/>
                    <a:ext cx="1897380" cy="74676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Eastman Roman Trial" w:hAnsi="Eastman Roman Trial" w:cstheme="minorHAnsi"/>
        <w:noProof/>
        <w:lang w:val="ro-RO"/>
      </w:rPr>
      <w:drawing>
        <wp:anchor distT="0" distB="0" distL="114300" distR="114300" simplePos="0" relativeHeight="251661312" behindDoc="0" locked="0" layoutInCell="1" allowOverlap="1" wp14:anchorId="71E8E1CB" wp14:editId="0E2B1EB0">
          <wp:simplePos x="0" y="0"/>
          <wp:positionH relativeFrom="margin">
            <wp:posOffset>4792980</wp:posOffset>
          </wp:positionH>
          <wp:positionV relativeFrom="margin">
            <wp:posOffset>-725170</wp:posOffset>
          </wp:positionV>
          <wp:extent cx="1709420" cy="624840"/>
          <wp:effectExtent l="0" t="0" r="0" b="0"/>
          <wp:wrapSquare wrapText="bothSides"/>
          <wp:docPr id="422827448" name="Picture 4" descr="A logo with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2827448" name="Picture 4" descr="A logo with a black background&#10;&#10;Description automatically generated"/>
                  <pic:cNvPicPr/>
                </pic:nvPicPr>
                <pic:blipFill rotWithShape="1">
                  <a:blip r:embed="rId3" cstate="print">
                    <a:extLst>
                      <a:ext uri="{28A0092B-C50C-407E-A947-70E740481C1C}">
                        <a14:useLocalDpi xmlns:a14="http://schemas.microsoft.com/office/drawing/2010/main" val="0"/>
                      </a:ext>
                    </a:extLst>
                  </a:blip>
                  <a:srcRect t="12150" b="11215"/>
                  <a:stretch/>
                </pic:blipFill>
                <pic:spPr bwMode="auto">
                  <a:xfrm>
                    <a:off x="0" y="0"/>
                    <a:ext cx="1709420" cy="6248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646BAA20" w14:textId="77777777" w:rsidR="005B7151" w:rsidRDefault="005B71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5"/>
    <w:multiLevelType w:val="hybridMultilevel"/>
    <w:tmpl w:val="F47E3C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0000017"/>
    <w:multiLevelType w:val="hybridMultilevel"/>
    <w:tmpl w:val="2EDE64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000001A"/>
    <w:multiLevelType w:val="hybridMultilevel"/>
    <w:tmpl w:val="DA207C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0000027"/>
    <w:multiLevelType w:val="hybridMultilevel"/>
    <w:tmpl w:val="6C64CC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425B6B"/>
    <w:multiLevelType w:val="hybridMultilevel"/>
    <w:tmpl w:val="A2F65F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6FB099F"/>
    <w:multiLevelType w:val="hybridMultilevel"/>
    <w:tmpl w:val="9FEC8AFC"/>
    <w:lvl w:ilvl="0" w:tplc="B9E4FC78">
      <w:numFmt w:val="bullet"/>
      <w:lvlText w:val="-"/>
      <w:lvlJc w:val="left"/>
      <w:pPr>
        <w:ind w:left="720" w:hanging="360"/>
      </w:pPr>
      <w:rPr>
        <w:rFonts w:ascii="Aptos" w:eastAsia="Aptos" w:hAnsi="Apto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20243E85"/>
    <w:multiLevelType w:val="hybridMultilevel"/>
    <w:tmpl w:val="841E06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57520E"/>
    <w:multiLevelType w:val="hybridMultilevel"/>
    <w:tmpl w:val="E168E290"/>
    <w:lvl w:ilvl="0" w:tplc="AE3EF0FE">
      <w:start w:val="2"/>
      <w:numFmt w:val="bullet"/>
      <w:lvlText w:val="-"/>
      <w:lvlJc w:val="left"/>
      <w:pPr>
        <w:ind w:left="720" w:hanging="360"/>
      </w:pPr>
      <w:rPr>
        <w:rFonts w:ascii="Aptos" w:eastAsiaTheme="minorHAnsi" w:hAnsi="Apto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A7D31F3"/>
    <w:multiLevelType w:val="hybridMultilevel"/>
    <w:tmpl w:val="05BEAB08"/>
    <w:lvl w:ilvl="0" w:tplc="70CCD9DC">
      <w:numFmt w:val="bullet"/>
      <w:lvlText w:val="-"/>
      <w:lvlJc w:val="left"/>
      <w:pPr>
        <w:ind w:left="720" w:hanging="360"/>
      </w:pPr>
      <w:rPr>
        <w:rFonts w:ascii="Aptos" w:eastAsiaTheme="minorHAnsi" w:hAnsi="Apto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B662E49"/>
    <w:multiLevelType w:val="hybridMultilevel"/>
    <w:tmpl w:val="CE202FDA"/>
    <w:lvl w:ilvl="0" w:tplc="2868A850">
      <w:start w:val="3"/>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EB54AF"/>
    <w:multiLevelType w:val="hybridMultilevel"/>
    <w:tmpl w:val="F0F822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1792975"/>
    <w:multiLevelType w:val="hybridMultilevel"/>
    <w:tmpl w:val="5464E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8F84D88"/>
    <w:multiLevelType w:val="hybridMultilevel"/>
    <w:tmpl w:val="2EDE64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CE55F1B"/>
    <w:multiLevelType w:val="hybridMultilevel"/>
    <w:tmpl w:val="4D4E0D92"/>
    <w:lvl w:ilvl="0" w:tplc="70CCD9DC">
      <w:numFmt w:val="bullet"/>
      <w:lvlText w:val="-"/>
      <w:lvlJc w:val="left"/>
      <w:pPr>
        <w:ind w:left="720" w:hanging="360"/>
      </w:pPr>
      <w:rPr>
        <w:rFonts w:ascii="Aptos" w:eastAsiaTheme="minorHAnsi" w:hAnsi="Apto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5CD02F4"/>
    <w:multiLevelType w:val="hybridMultilevel"/>
    <w:tmpl w:val="0BFAC2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6D04DD3"/>
    <w:multiLevelType w:val="hybridMultilevel"/>
    <w:tmpl w:val="D2A0F3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3FB00E5"/>
    <w:multiLevelType w:val="multilevel"/>
    <w:tmpl w:val="F294C0D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5DBE166E"/>
    <w:multiLevelType w:val="hybridMultilevel"/>
    <w:tmpl w:val="813676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6A72DD0"/>
    <w:multiLevelType w:val="hybridMultilevel"/>
    <w:tmpl w:val="6C64CC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A137F16"/>
    <w:multiLevelType w:val="multilevel"/>
    <w:tmpl w:val="84623D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A375293"/>
    <w:multiLevelType w:val="hybridMultilevel"/>
    <w:tmpl w:val="264C9D1E"/>
    <w:lvl w:ilvl="0" w:tplc="B9E4FC78">
      <w:numFmt w:val="bullet"/>
      <w:lvlText w:val="-"/>
      <w:lvlJc w:val="left"/>
      <w:pPr>
        <w:ind w:left="720" w:hanging="360"/>
      </w:pPr>
      <w:rPr>
        <w:rFonts w:ascii="Aptos" w:eastAsia="Aptos" w:hAnsi="Apto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278027501">
    <w:abstractNumId w:val="12"/>
  </w:num>
  <w:num w:numId="2" w16cid:durableId="136457506">
    <w:abstractNumId w:val="19"/>
  </w:num>
  <w:num w:numId="3" w16cid:durableId="1245916354">
    <w:abstractNumId w:val="20"/>
  </w:num>
  <w:num w:numId="4" w16cid:durableId="326834742">
    <w:abstractNumId w:val="5"/>
  </w:num>
  <w:num w:numId="5" w16cid:durableId="81342447">
    <w:abstractNumId w:val="5"/>
  </w:num>
  <w:num w:numId="6" w16cid:durableId="525102148">
    <w:abstractNumId w:val="15"/>
  </w:num>
  <w:num w:numId="7" w16cid:durableId="547229804">
    <w:abstractNumId w:val="13"/>
  </w:num>
  <w:num w:numId="8" w16cid:durableId="1062748962">
    <w:abstractNumId w:val="8"/>
  </w:num>
  <w:num w:numId="9" w16cid:durableId="55476194">
    <w:abstractNumId w:val="14"/>
  </w:num>
  <w:num w:numId="10" w16cid:durableId="1861158723">
    <w:abstractNumId w:val="16"/>
  </w:num>
  <w:num w:numId="11" w16cid:durableId="146676986">
    <w:abstractNumId w:val="17"/>
  </w:num>
  <w:num w:numId="12" w16cid:durableId="1046300464">
    <w:abstractNumId w:val="11"/>
  </w:num>
  <w:num w:numId="13" w16cid:durableId="1569728785">
    <w:abstractNumId w:val="9"/>
  </w:num>
  <w:num w:numId="14" w16cid:durableId="1993943106">
    <w:abstractNumId w:val="6"/>
  </w:num>
  <w:num w:numId="15" w16cid:durableId="1610963395">
    <w:abstractNumId w:val="7"/>
  </w:num>
  <w:num w:numId="16" w16cid:durableId="198208892">
    <w:abstractNumId w:val="4"/>
  </w:num>
  <w:num w:numId="17" w16cid:durableId="1877350303">
    <w:abstractNumId w:val="18"/>
  </w:num>
  <w:num w:numId="18" w16cid:durableId="317267603">
    <w:abstractNumId w:val="10"/>
  </w:num>
  <w:num w:numId="19" w16cid:durableId="697392427">
    <w:abstractNumId w:val="3"/>
  </w:num>
  <w:num w:numId="20" w16cid:durableId="1197692473">
    <w:abstractNumId w:val="1"/>
  </w:num>
  <w:num w:numId="21" w16cid:durableId="1973050429">
    <w:abstractNumId w:val="0"/>
  </w:num>
  <w:num w:numId="22" w16cid:durableId="2274276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283"/>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1A1A"/>
    <w:rsid w:val="0000699D"/>
    <w:rsid w:val="00013344"/>
    <w:rsid w:val="00023309"/>
    <w:rsid w:val="0003401C"/>
    <w:rsid w:val="00041086"/>
    <w:rsid w:val="00050818"/>
    <w:rsid w:val="000508C2"/>
    <w:rsid w:val="00050DB2"/>
    <w:rsid w:val="000519A8"/>
    <w:rsid w:val="0005679C"/>
    <w:rsid w:val="000603BF"/>
    <w:rsid w:val="00064591"/>
    <w:rsid w:val="00071856"/>
    <w:rsid w:val="00072776"/>
    <w:rsid w:val="00072D4E"/>
    <w:rsid w:val="000752DE"/>
    <w:rsid w:val="00084C00"/>
    <w:rsid w:val="00092C04"/>
    <w:rsid w:val="00094886"/>
    <w:rsid w:val="000A0A5F"/>
    <w:rsid w:val="000A209C"/>
    <w:rsid w:val="000A7311"/>
    <w:rsid w:val="000A79E5"/>
    <w:rsid w:val="000B2F52"/>
    <w:rsid w:val="000B545A"/>
    <w:rsid w:val="000B5C5E"/>
    <w:rsid w:val="000B6690"/>
    <w:rsid w:val="000C5F2B"/>
    <w:rsid w:val="000C6167"/>
    <w:rsid w:val="000C65B1"/>
    <w:rsid w:val="000C6F97"/>
    <w:rsid w:val="000C71DD"/>
    <w:rsid w:val="000E33CD"/>
    <w:rsid w:val="000E4CC5"/>
    <w:rsid w:val="000F2A3B"/>
    <w:rsid w:val="00110187"/>
    <w:rsid w:val="00121F93"/>
    <w:rsid w:val="00126524"/>
    <w:rsid w:val="001278A0"/>
    <w:rsid w:val="00137E5A"/>
    <w:rsid w:val="0014030C"/>
    <w:rsid w:val="00160080"/>
    <w:rsid w:val="001615FC"/>
    <w:rsid w:val="001621CD"/>
    <w:rsid w:val="001668EE"/>
    <w:rsid w:val="001716CC"/>
    <w:rsid w:val="00171F63"/>
    <w:rsid w:val="0017241F"/>
    <w:rsid w:val="0017345B"/>
    <w:rsid w:val="00176E79"/>
    <w:rsid w:val="00180149"/>
    <w:rsid w:val="00181A1A"/>
    <w:rsid w:val="001835E9"/>
    <w:rsid w:val="001837B7"/>
    <w:rsid w:val="00184736"/>
    <w:rsid w:val="0019070D"/>
    <w:rsid w:val="00191A10"/>
    <w:rsid w:val="00191F60"/>
    <w:rsid w:val="001929B3"/>
    <w:rsid w:val="00195247"/>
    <w:rsid w:val="001B4744"/>
    <w:rsid w:val="001B6694"/>
    <w:rsid w:val="001D6308"/>
    <w:rsid w:val="001D7ECC"/>
    <w:rsid w:val="001E3B72"/>
    <w:rsid w:val="001E74A7"/>
    <w:rsid w:val="001F36B6"/>
    <w:rsid w:val="00203BC8"/>
    <w:rsid w:val="0020745B"/>
    <w:rsid w:val="002075FC"/>
    <w:rsid w:val="00211AF4"/>
    <w:rsid w:val="00213170"/>
    <w:rsid w:val="00214452"/>
    <w:rsid w:val="0021461F"/>
    <w:rsid w:val="002148B4"/>
    <w:rsid w:val="00214967"/>
    <w:rsid w:val="00224F90"/>
    <w:rsid w:val="00225D21"/>
    <w:rsid w:val="00226B5A"/>
    <w:rsid w:val="002307ED"/>
    <w:rsid w:val="00247C78"/>
    <w:rsid w:val="00247D9C"/>
    <w:rsid w:val="002535BC"/>
    <w:rsid w:val="00271B01"/>
    <w:rsid w:val="00272861"/>
    <w:rsid w:val="00272C6F"/>
    <w:rsid w:val="00275A1B"/>
    <w:rsid w:val="002823E1"/>
    <w:rsid w:val="002A7438"/>
    <w:rsid w:val="002B1BF8"/>
    <w:rsid w:val="002B2C3A"/>
    <w:rsid w:val="002B4415"/>
    <w:rsid w:val="002C235A"/>
    <w:rsid w:val="002C55EF"/>
    <w:rsid w:val="002C6D7B"/>
    <w:rsid w:val="002D0153"/>
    <w:rsid w:val="002D3E45"/>
    <w:rsid w:val="002D6B6F"/>
    <w:rsid w:val="002E4772"/>
    <w:rsid w:val="002F1831"/>
    <w:rsid w:val="002F1AFD"/>
    <w:rsid w:val="00301E86"/>
    <w:rsid w:val="003034F8"/>
    <w:rsid w:val="0030414C"/>
    <w:rsid w:val="0031163B"/>
    <w:rsid w:val="00314DA3"/>
    <w:rsid w:val="003152A8"/>
    <w:rsid w:val="00316F11"/>
    <w:rsid w:val="00320E69"/>
    <w:rsid w:val="00322D1C"/>
    <w:rsid w:val="00323681"/>
    <w:rsid w:val="00323E8E"/>
    <w:rsid w:val="00325E3E"/>
    <w:rsid w:val="0032777E"/>
    <w:rsid w:val="00331A9A"/>
    <w:rsid w:val="003336EA"/>
    <w:rsid w:val="00334350"/>
    <w:rsid w:val="003402AC"/>
    <w:rsid w:val="003443EE"/>
    <w:rsid w:val="003445AE"/>
    <w:rsid w:val="0034681F"/>
    <w:rsid w:val="00347610"/>
    <w:rsid w:val="003505A4"/>
    <w:rsid w:val="003532F7"/>
    <w:rsid w:val="003800D0"/>
    <w:rsid w:val="00386D65"/>
    <w:rsid w:val="00394D4A"/>
    <w:rsid w:val="003960B8"/>
    <w:rsid w:val="003A0CC9"/>
    <w:rsid w:val="003A466B"/>
    <w:rsid w:val="003A5382"/>
    <w:rsid w:val="003B2F0E"/>
    <w:rsid w:val="003C0A29"/>
    <w:rsid w:val="003C127F"/>
    <w:rsid w:val="003C4070"/>
    <w:rsid w:val="003D4423"/>
    <w:rsid w:val="003E66D3"/>
    <w:rsid w:val="003E7448"/>
    <w:rsid w:val="003F30C4"/>
    <w:rsid w:val="003F4C44"/>
    <w:rsid w:val="003F764E"/>
    <w:rsid w:val="003F7FE3"/>
    <w:rsid w:val="00405857"/>
    <w:rsid w:val="004079B7"/>
    <w:rsid w:val="00411057"/>
    <w:rsid w:val="00411F9A"/>
    <w:rsid w:val="004234E7"/>
    <w:rsid w:val="00424773"/>
    <w:rsid w:val="0042789D"/>
    <w:rsid w:val="00427E19"/>
    <w:rsid w:val="004309EA"/>
    <w:rsid w:val="00431844"/>
    <w:rsid w:val="00434B6F"/>
    <w:rsid w:val="00437DA5"/>
    <w:rsid w:val="004572FC"/>
    <w:rsid w:val="0047078C"/>
    <w:rsid w:val="00475E46"/>
    <w:rsid w:val="00480A07"/>
    <w:rsid w:val="00486C71"/>
    <w:rsid w:val="004877F8"/>
    <w:rsid w:val="0049109D"/>
    <w:rsid w:val="004A2308"/>
    <w:rsid w:val="004B3B10"/>
    <w:rsid w:val="004B5863"/>
    <w:rsid w:val="004B5D04"/>
    <w:rsid w:val="004B6A05"/>
    <w:rsid w:val="004C5F56"/>
    <w:rsid w:val="004C61E8"/>
    <w:rsid w:val="004C6DA6"/>
    <w:rsid w:val="004C771D"/>
    <w:rsid w:val="004D0A2A"/>
    <w:rsid w:val="004D320B"/>
    <w:rsid w:val="004D35ED"/>
    <w:rsid w:val="004E67B9"/>
    <w:rsid w:val="004F540E"/>
    <w:rsid w:val="005070F8"/>
    <w:rsid w:val="00511ACD"/>
    <w:rsid w:val="00511C4F"/>
    <w:rsid w:val="00513E8A"/>
    <w:rsid w:val="005168BC"/>
    <w:rsid w:val="00521721"/>
    <w:rsid w:val="00521F10"/>
    <w:rsid w:val="005225A0"/>
    <w:rsid w:val="0052367E"/>
    <w:rsid w:val="005239C9"/>
    <w:rsid w:val="00523FF3"/>
    <w:rsid w:val="0052626C"/>
    <w:rsid w:val="0053170C"/>
    <w:rsid w:val="00535B1D"/>
    <w:rsid w:val="00535F36"/>
    <w:rsid w:val="00544843"/>
    <w:rsid w:val="00550366"/>
    <w:rsid w:val="00551759"/>
    <w:rsid w:val="00553DD1"/>
    <w:rsid w:val="0055453F"/>
    <w:rsid w:val="005550CC"/>
    <w:rsid w:val="005629BA"/>
    <w:rsid w:val="00564F3D"/>
    <w:rsid w:val="0056783B"/>
    <w:rsid w:val="0057406A"/>
    <w:rsid w:val="0058128F"/>
    <w:rsid w:val="00590BD4"/>
    <w:rsid w:val="005A0A23"/>
    <w:rsid w:val="005A0CA5"/>
    <w:rsid w:val="005A5CB6"/>
    <w:rsid w:val="005B4974"/>
    <w:rsid w:val="005B4DFE"/>
    <w:rsid w:val="005B6492"/>
    <w:rsid w:val="005B7151"/>
    <w:rsid w:val="005C41BB"/>
    <w:rsid w:val="005D0895"/>
    <w:rsid w:val="005D7EEA"/>
    <w:rsid w:val="005E122E"/>
    <w:rsid w:val="005E197F"/>
    <w:rsid w:val="005E21B3"/>
    <w:rsid w:val="005E39C1"/>
    <w:rsid w:val="005E3E18"/>
    <w:rsid w:val="005E422B"/>
    <w:rsid w:val="005E59DF"/>
    <w:rsid w:val="005F6F93"/>
    <w:rsid w:val="005F721E"/>
    <w:rsid w:val="00607C45"/>
    <w:rsid w:val="006113D6"/>
    <w:rsid w:val="00612C90"/>
    <w:rsid w:val="00614C97"/>
    <w:rsid w:val="00621C90"/>
    <w:rsid w:val="00626B6A"/>
    <w:rsid w:val="00640965"/>
    <w:rsid w:val="00644A20"/>
    <w:rsid w:val="006450A9"/>
    <w:rsid w:val="00646995"/>
    <w:rsid w:val="00646A72"/>
    <w:rsid w:val="0065304C"/>
    <w:rsid w:val="0065329C"/>
    <w:rsid w:val="00655D36"/>
    <w:rsid w:val="0065736F"/>
    <w:rsid w:val="006636B7"/>
    <w:rsid w:val="00664057"/>
    <w:rsid w:val="006641AB"/>
    <w:rsid w:val="00671136"/>
    <w:rsid w:val="00671FD7"/>
    <w:rsid w:val="0067528E"/>
    <w:rsid w:val="00682671"/>
    <w:rsid w:val="00691BBA"/>
    <w:rsid w:val="00695C2C"/>
    <w:rsid w:val="00697470"/>
    <w:rsid w:val="006A2CFA"/>
    <w:rsid w:val="006A51E2"/>
    <w:rsid w:val="006A5A39"/>
    <w:rsid w:val="006B5D18"/>
    <w:rsid w:val="006C2C0C"/>
    <w:rsid w:val="006C42AA"/>
    <w:rsid w:val="006C4C68"/>
    <w:rsid w:val="006C5233"/>
    <w:rsid w:val="006D2FF2"/>
    <w:rsid w:val="006E0302"/>
    <w:rsid w:val="006E0D6E"/>
    <w:rsid w:val="006F5B56"/>
    <w:rsid w:val="006F7203"/>
    <w:rsid w:val="007009F6"/>
    <w:rsid w:val="00702CF5"/>
    <w:rsid w:val="007076DA"/>
    <w:rsid w:val="0071240B"/>
    <w:rsid w:val="00712439"/>
    <w:rsid w:val="00717DA4"/>
    <w:rsid w:val="00724112"/>
    <w:rsid w:val="00724312"/>
    <w:rsid w:val="00730010"/>
    <w:rsid w:val="00730FC7"/>
    <w:rsid w:val="00734CC1"/>
    <w:rsid w:val="0073628E"/>
    <w:rsid w:val="0074020C"/>
    <w:rsid w:val="0074556D"/>
    <w:rsid w:val="007474FA"/>
    <w:rsid w:val="00755B34"/>
    <w:rsid w:val="00760572"/>
    <w:rsid w:val="0077213F"/>
    <w:rsid w:val="00776A43"/>
    <w:rsid w:val="007779A6"/>
    <w:rsid w:val="00784701"/>
    <w:rsid w:val="007965AE"/>
    <w:rsid w:val="007A2F50"/>
    <w:rsid w:val="007A6848"/>
    <w:rsid w:val="007A6D65"/>
    <w:rsid w:val="007B08CC"/>
    <w:rsid w:val="007B0DBD"/>
    <w:rsid w:val="007B6F85"/>
    <w:rsid w:val="007B7ED5"/>
    <w:rsid w:val="007C5D4B"/>
    <w:rsid w:val="007D20BF"/>
    <w:rsid w:val="007D4C40"/>
    <w:rsid w:val="007D60EB"/>
    <w:rsid w:val="007E2904"/>
    <w:rsid w:val="007F0207"/>
    <w:rsid w:val="007F32F2"/>
    <w:rsid w:val="007F5B0A"/>
    <w:rsid w:val="008078F1"/>
    <w:rsid w:val="008111AB"/>
    <w:rsid w:val="00813B50"/>
    <w:rsid w:val="00824DA9"/>
    <w:rsid w:val="00827687"/>
    <w:rsid w:val="0084350B"/>
    <w:rsid w:val="00846C8C"/>
    <w:rsid w:val="00847705"/>
    <w:rsid w:val="0086128E"/>
    <w:rsid w:val="00861D50"/>
    <w:rsid w:val="0086391A"/>
    <w:rsid w:val="00870CCB"/>
    <w:rsid w:val="00873AF5"/>
    <w:rsid w:val="00874876"/>
    <w:rsid w:val="00880DC6"/>
    <w:rsid w:val="00885EE4"/>
    <w:rsid w:val="00895ACC"/>
    <w:rsid w:val="008963D3"/>
    <w:rsid w:val="008A5B79"/>
    <w:rsid w:val="008B09E1"/>
    <w:rsid w:val="008B0E19"/>
    <w:rsid w:val="008B1D98"/>
    <w:rsid w:val="008B5708"/>
    <w:rsid w:val="008B5D77"/>
    <w:rsid w:val="008C3097"/>
    <w:rsid w:val="008C72FD"/>
    <w:rsid w:val="008D441A"/>
    <w:rsid w:val="008D453C"/>
    <w:rsid w:val="008D6CD1"/>
    <w:rsid w:val="008E1DBA"/>
    <w:rsid w:val="008E5511"/>
    <w:rsid w:val="008E5799"/>
    <w:rsid w:val="008F3BA6"/>
    <w:rsid w:val="008F420F"/>
    <w:rsid w:val="008F665D"/>
    <w:rsid w:val="008F7C9B"/>
    <w:rsid w:val="00905B66"/>
    <w:rsid w:val="00915E76"/>
    <w:rsid w:val="00922EAC"/>
    <w:rsid w:val="00924F54"/>
    <w:rsid w:val="0092597D"/>
    <w:rsid w:val="00925CA6"/>
    <w:rsid w:val="00927FD0"/>
    <w:rsid w:val="00932D12"/>
    <w:rsid w:val="00943AFC"/>
    <w:rsid w:val="009441B4"/>
    <w:rsid w:val="00945D52"/>
    <w:rsid w:val="009474F1"/>
    <w:rsid w:val="00947A49"/>
    <w:rsid w:val="009507D8"/>
    <w:rsid w:val="0095089A"/>
    <w:rsid w:val="00951834"/>
    <w:rsid w:val="009567D7"/>
    <w:rsid w:val="009654B3"/>
    <w:rsid w:val="00967ED5"/>
    <w:rsid w:val="009755CD"/>
    <w:rsid w:val="00975D42"/>
    <w:rsid w:val="00981289"/>
    <w:rsid w:val="00983783"/>
    <w:rsid w:val="00990EB6"/>
    <w:rsid w:val="00994633"/>
    <w:rsid w:val="009A24B8"/>
    <w:rsid w:val="009B5DE3"/>
    <w:rsid w:val="009C6DE5"/>
    <w:rsid w:val="009D0293"/>
    <w:rsid w:val="009D2CD2"/>
    <w:rsid w:val="009D3838"/>
    <w:rsid w:val="009E5984"/>
    <w:rsid w:val="009F51C4"/>
    <w:rsid w:val="00A009C8"/>
    <w:rsid w:val="00A0126C"/>
    <w:rsid w:val="00A032CE"/>
    <w:rsid w:val="00A07E0B"/>
    <w:rsid w:val="00A24B85"/>
    <w:rsid w:val="00A35E55"/>
    <w:rsid w:val="00A35F07"/>
    <w:rsid w:val="00A366A1"/>
    <w:rsid w:val="00A60ADA"/>
    <w:rsid w:val="00A621AD"/>
    <w:rsid w:val="00A7096B"/>
    <w:rsid w:val="00A72FDF"/>
    <w:rsid w:val="00A739F4"/>
    <w:rsid w:val="00A7472F"/>
    <w:rsid w:val="00A74A8E"/>
    <w:rsid w:val="00A75084"/>
    <w:rsid w:val="00A86569"/>
    <w:rsid w:val="00A878D5"/>
    <w:rsid w:val="00A931B4"/>
    <w:rsid w:val="00A961FF"/>
    <w:rsid w:val="00AA16B2"/>
    <w:rsid w:val="00AA4F9F"/>
    <w:rsid w:val="00AA726F"/>
    <w:rsid w:val="00AB097A"/>
    <w:rsid w:val="00AB4563"/>
    <w:rsid w:val="00AC1AD1"/>
    <w:rsid w:val="00AC7D86"/>
    <w:rsid w:val="00AC7E43"/>
    <w:rsid w:val="00AD1390"/>
    <w:rsid w:val="00AD44E1"/>
    <w:rsid w:val="00AD762C"/>
    <w:rsid w:val="00AE02E2"/>
    <w:rsid w:val="00AE1033"/>
    <w:rsid w:val="00AE2566"/>
    <w:rsid w:val="00AE45D9"/>
    <w:rsid w:val="00AE5DF9"/>
    <w:rsid w:val="00AE5F78"/>
    <w:rsid w:val="00AE766D"/>
    <w:rsid w:val="00AF07BA"/>
    <w:rsid w:val="00AF1393"/>
    <w:rsid w:val="00AF169B"/>
    <w:rsid w:val="00AF33CB"/>
    <w:rsid w:val="00AF6905"/>
    <w:rsid w:val="00B022AB"/>
    <w:rsid w:val="00B05133"/>
    <w:rsid w:val="00B1127C"/>
    <w:rsid w:val="00B14DB7"/>
    <w:rsid w:val="00B17C82"/>
    <w:rsid w:val="00B27143"/>
    <w:rsid w:val="00B327A0"/>
    <w:rsid w:val="00B3320A"/>
    <w:rsid w:val="00B36D6C"/>
    <w:rsid w:val="00B43B5D"/>
    <w:rsid w:val="00B457D0"/>
    <w:rsid w:val="00B461D0"/>
    <w:rsid w:val="00B540B3"/>
    <w:rsid w:val="00B5529C"/>
    <w:rsid w:val="00B64161"/>
    <w:rsid w:val="00B74E1A"/>
    <w:rsid w:val="00B75861"/>
    <w:rsid w:val="00B80529"/>
    <w:rsid w:val="00B80F43"/>
    <w:rsid w:val="00B85901"/>
    <w:rsid w:val="00B91D80"/>
    <w:rsid w:val="00B93E8A"/>
    <w:rsid w:val="00B94F38"/>
    <w:rsid w:val="00BA14F2"/>
    <w:rsid w:val="00BA1E66"/>
    <w:rsid w:val="00BA32AE"/>
    <w:rsid w:val="00BA7A0F"/>
    <w:rsid w:val="00BB381B"/>
    <w:rsid w:val="00BB4E49"/>
    <w:rsid w:val="00BB703D"/>
    <w:rsid w:val="00BC1837"/>
    <w:rsid w:val="00BC3588"/>
    <w:rsid w:val="00BC3CA6"/>
    <w:rsid w:val="00BC40EB"/>
    <w:rsid w:val="00BC44AE"/>
    <w:rsid w:val="00BE4B7B"/>
    <w:rsid w:val="00BF481B"/>
    <w:rsid w:val="00C0004E"/>
    <w:rsid w:val="00C00870"/>
    <w:rsid w:val="00C010A0"/>
    <w:rsid w:val="00C0381B"/>
    <w:rsid w:val="00C06063"/>
    <w:rsid w:val="00C126AB"/>
    <w:rsid w:val="00C13165"/>
    <w:rsid w:val="00C146F0"/>
    <w:rsid w:val="00C16EB5"/>
    <w:rsid w:val="00C17F6F"/>
    <w:rsid w:val="00C24EBC"/>
    <w:rsid w:val="00C269E4"/>
    <w:rsid w:val="00C2751E"/>
    <w:rsid w:val="00C31F8B"/>
    <w:rsid w:val="00C46560"/>
    <w:rsid w:val="00C525A8"/>
    <w:rsid w:val="00C5593E"/>
    <w:rsid w:val="00C55E55"/>
    <w:rsid w:val="00C56D09"/>
    <w:rsid w:val="00C60A3C"/>
    <w:rsid w:val="00C7443C"/>
    <w:rsid w:val="00C7547E"/>
    <w:rsid w:val="00C816E2"/>
    <w:rsid w:val="00C838F5"/>
    <w:rsid w:val="00C86B3B"/>
    <w:rsid w:val="00C926A8"/>
    <w:rsid w:val="00C93E16"/>
    <w:rsid w:val="00CA0C05"/>
    <w:rsid w:val="00CA4D8C"/>
    <w:rsid w:val="00CA613A"/>
    <w:rsid w:val="00CB15BA"/>
    <w:rsid w:val="00CB410C"/>
    <w:rsid w:val="00CB62A9"/>
    <w:rsid w:val="00CB73FF"/>
    <w:rsid w:val="00CC3D5D"/>
    <w:rsid w:val="00CC4C2C"/>
    <w:rsid w:val="00CC50DD"/>
    <w:rsid w:val="00CC7DF6"/>
    <w:rsid w:val="00CD476C"/>
    <w:rsid w:val="00CD5F07"/>
    <w:rsid w:val="00CD6528"/>
    <w:rsid w:val="00CE6765"/>
    <w:rsid w:val="00CF0D4A"/>
    <w:rsid w:val="00CF17DE"/>
    <w:rsid w:val="00CF6ADD"/>
    <w:rsid w:val="00CF7B09"/>
    <w:rsid w:val="00D0759F"/>
    <w:rsid w:val="00D1454E"/>
    <w:rsid w:val="00D20FE8"/>
    <w:rsid w:val="00D32B1F"/>
    <w:rsid w:val="00D36C81"/>
    <w:rsid w:val="00D36E4E"/>
    <w:rsid w:val="00D373A0"/>
    <w:rsid w:val="00D40C4C"/>
    <w:rsid w:val="00D41A23"/>
    <w:rsid w:val="00D522C7"/>
    <w:rsid w:val="00D55134"/>
    <w:rsid w:val="00D559A7"/>
    <w:rsid w:val="00D57982"/>
    <w:rsid w:val="00D674BF"/>
    <w:rsid w:val="00D70C54"/>
    <w:rsid w:val="00D713A3"/>
    <w:rsid w:val="00D75054"/>
    <w:rsid w:val="00D75E6C"/>
    <w:rsid w:val="00D81392"/>
    <w:rsid w:val="00D81968"/>
    <w:rsid w:val="00D85B13"/>
    <w:rsid w:val="00D93533"/>
    <w:rsid w:val="00DA1A88"/>
    <w:rsid w:val="00DA3817"/>
    <w:rsid w:val="00DA4CBA"/>
    <w:rsid w:val="00DA545D"/>
    <w:rsid w:val="00DB1343"/>
    <w:rsid w:val="00DC5051"/>
    <w:rsid w:val="00DC5AC5"/>
    <w:rsid w:val="00DC79A0"/>
    <w:rsid w:val="00DD679D"/>
    <w:rsid w:val="00DD6D51"/>
    <w:rsid w:val="00DD727C"/>
    <w:rsid w:val="00DE4254"/>
    <w:rsid w:val="00DE5348"/>
    <w:rsid w:val="00DE7C41"/>
    <w:rsid w:val="00DF3357"/>
    <w:rsid w:val="00DF3D86"/>
    <w:rsid w:val="00DF4289"/>
    <w:rsid w:val="00E11644"/>
    <w:rsid w:val="00E14E3E"/>
    <w:rsid w:val="00E1528B"/>
    <w:rsid w:val="00E257A7"/>
    <w:rsid w:val="00E257AC"/>
    <w:rsid w:val="00E2681A"/>
    <w:rsid w:val="00E33C75"/>
    <w:rsid w:val="00E37117"/>
    <w:rsid w:val="00E40E87"/>
    <w:rsid w:val="00E56262"/>
    <w:rsid w:val="00E6193A"/>
    <w:rsid w:val="00E634AF"/>
    <w:rsid w:val="00E63C86"/>
    <w:rsid w:val="00E7216F"/>
    <w:rsid w:val="00E754B1"/>
    <w:rsid w:val="00E7576D"/>
    <w:rsid w:val="00E76C76"/>
    <w:rsid w:val="00E77568"/>
    <w:rsid w:val="00E775A3"/>
    <w:rsid w:val="00E81F02"/>
    <w:rsid w:val="00E82D67"/>
    <w:rsid w:val="00E96853"/>
    <w:rsid w:val="00E97C80"/>
    <w:rsid w:val="00EA27A7"/>
    <w:rsid w:val="00EA2F1E"/>
    <w:rsid w:val="00EB153A"/>
    <w:rsid w:val="00EB194A"/>
    <w:rsid w:val="00EC2ACD"/>
    <w:rsid w:val="00EE0E12"/>
    <w:rsid w:val="00EE3E8F"/>
    <w:rsid w:val="00EE51B8"/>
    <w:rsid w:val="00EE5687"/>
    <w:rsid w:val="00EF3C2F"/>
    <w:rsid w:val="00EF494B"/>
    <w:rsid w:val="00F01C42"/>
    <w:rsid w:val="00F02D2C"/>
    <w:rsid w:val="00F06CD3"/>
    <w:rsid w:val="00F07776"/>
    <w:rsid w:val="00F13461"/>
    <w:rsid w:val="00F16108"/>
    <w:rsid w:val="00F21081"/>
    <w:rsid w:val="00F271A4"/>
    <w:rsid w:val="00F31963"/>
    <w:rsid w:val="00F41794"/>
    <w:rsid w:val="00F44672"/>
    <w:rsid w:val="00F451DE"/>
    <w:rsid w:val="00F469D3"/>
    <w:rsid w:val="00F56530"/>
    <w:rsid w:val="00F62994"/>
    <w:rsid w:val="00F63410"/>
    <w:rsid w:val="00F6487D"/>
    <w:rsid w:val="00F74A5D"/>
    <w:rsid w:val="00F80C35"/>
    <w:rsid w:val="00F81847"/>
    <w:rsid w:val="00F86419"/>
    <w:rsid w:val="00F90FEF"/>
    <w:rsid w:val="00F92359"/>
    <w:rsid w:val="00F92A51"/>
    <w:rsid w:val="00F9447D"/>
    <w:rsid w:val="00F95D40"/>
    <w:rsid w:val="00F9741F"/>
    <w:rsid w:val="00FA279C"/>
    <w:rsid w:val="00FA2FE7"/>
    <w:rsid w:val="00FA4E15"/>
    <w:rsid w:val="00FB24B7"/>
    <w:rsid w:val="00FB7E5B"/>
    <w:rsid w:val="00FC3C91"/>
    <w:rsid w:val="00FC574F"/>
    <w:rsid w:val="00FC642B"/>
    <w:rsid w:val="00FC7D8D"/>
    <w:rsid w:val="00FD2AB0"/>
    <w:rsid w:val="00FD5C83"/>
    <w:rsid w:val="00FF293F"/>
    <w:rsid w:val="00FF4827"/>
    <w:rsid w:val="00FF4E8F"/>
    <w:rsid w:val="00FF613A"/>
    <w:rsid w:val="00FF7B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368561"/>
  <w15:chartTrackingRefBased/>
  <w15:docId w15:val="{EBDD1B2B-B89E-49C3-BFBF-085F9DD4F8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81A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181A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181A1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34681F"/>
    <w:pPr>
      <w:keepNext/>
      <w:keepLines/>
      <w:spacing w:before="240" w:after="2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81A1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81A1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81A1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81A1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81A1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81A1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181A1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181A1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34681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81A1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81A1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81A1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81A1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81A1A"/>
    <w:rPr>
      <w:rFonts w:eastAsiaTheme="majorEastAsia" w:cstheme="majorBidi"/>
      <w:color w:val="272727" w:themeColor="text1" w:themeTint="D8"/>
    </w:rPr>
  </w:style>
  <w:style w:type="paragraph" w:styleId="Title">
    <w:name w:val="Title"/>
    <w:basedOn w:val="Normal"/>
    <w:next w:val="Normal"/>
    <w:link w:val="TitleChar"/>
    <w:uiPriority w:val="10"/>
    <w:qFormat/>
    <w:rsid w:val="00181A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81A1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81A1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81A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81A1A"/>
    <w:pPr>
      <w:spacing w:before="160"/>
      <w:jc w:val="center"/>
    </w:pPr>
    <w:rPr>
      <w:i/>
      <w:iCs/>
      <w:color w:val="404040" w:themeColor="text1" w:themeTint="BF"/>
    </w:rPr>
  </w:style>
  <w:style w:type="character" w:customStyle="1" w:styleId="QuoteChar">
    <w:name w:val="Quote Char"/>
    <w:basedOn w:val="DefaultParagraphFont"/>
    <w:link w:val="Quote"/>
    <w:uiPriority w:val="29"/>
    <w:rsid w:val="00181A1A"/>
    <w:rPr>
      <w:i/>
      <w:iCs/>
      <w:color w:val="404040" w:themeColor="text1" w:themeTint="BF"/>
    </w:rPr>
  </w:style>
  <w:style w:type="paragraph" w:styleId="ListParagraph">
    <w:name w:val="List Paragraph"/>
    <w:aliases w:val="body 2,Normal bullet 2,List Paragraph1,Heading x1,List Paragraph11,Bullet 1,Table of contents numbered,A_wyliczenie,K-P_odwolanie,Akapit z listą5,maz_wyliczenie,opis dzialania,Akapit z listą BS,Outlines a.b.c.,List_Paragraph,Forth level,l"/>
    <w:basedOn w:val="Normal"/>
    <w:link w:val="ListParagraphChar"/>
    <w:uiPriority w:val="34"/>
    <w:qFormat/>
    <w:rsid w:val="00181A1A"/>
    <w:pPr>
      <w:ind w:left="720"/>
      <w:contextualSpacing/>
    </w:pPr>
  </w:style>
  <w:style w:type="character" w:styleId="IntenseEmphasis">
    <w:name w:val="Intense Emphasis"/>
    <w:basedOn w:val="DefaultParagraphFont"/>
    <w:uiPriority w:val="21"/>
    <w:qFormat/>
    <w:rsid w:val="00181A1A"/>
    <w:rPr>
      <w:i/>
      <w:iCs/>
      <w:color w:val="0F4761" w:themeColor="accent1" w:themeShade="BF"/>
    </w:rPr>
  </w:style>
  <w:style w:type="paragraph" w:styleId="IntenseQuote">
    <w:name w:val="Intense Quote"/>
    <w:basedOn w:val="Normal"/>
    <w:next w:val="Normal"/>
    <w:link w:val="IntenseQuoteChar"/>
    <w:uiPriority w:val="30"/>
    <w:qFormat/>
    <w:rsid w:val="00181A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81A1A"/>
    <w:rPr>
      <w:i/>
      <w:iCs/>
      <w:color w:val="0F4761" w:themeColor="accent1" w:themeShade="BF"/>
    </w:rPr>
  </w:style>
  <w:style w:type="character" w:styleId="IntenseReference">
    <w:name w:val="Intense Reference"/>
    <w:basedOn w:val="DefaultParagraphFont"/>
    <w:uiPriority w:val="32"/>
    <w:qFormat/>
    <w:rsid w:val="00181A1A"/>
    <w:rPr>
      <w:b/>
      <w:bCs/>
      <w:smallCaps/>
      <w:color w:val="0F4761" w:themeColor="accent1" w:themeShade="BF"/>
      <w:spacing w:val="5"/>
    </w:rPr>
  </w:style>
  <w:style w:type="character" w:styleId="PlaceholderText">
    <w:name w:val="Placeholder Text"/>
    <w:basedOn w:val="DefaultParagraphFont"/>
    <w:uiPriority w:val="99"/>
    <w:semiHidden/>
    <w:rsid w:val="006F7203"/>
    <w:rPr>
      <w:color w:val="666666"/>
    </w:rPr>
  </w:style>
  <w:style w:type="paragraph" w:styleId="Caption">
    <w:name w:val="caption"/>
    <w:basedOn w:val="Normal"/>
    <w:next w:val="Normal"/>
    <w:uiPriority w:val="35"/>
    <w:unhideWhenUsed/>
    <w:qFormat/>
    <w:rsid w:val="00F74A5D"/>
    <w:pPr>
      <w:spacing w:after="200" w:line="240" w:lineRule="auto"/>
    </w:pPr>
    <w:rPr>
      <w:i/>
      <w:iCs/>
      <w:color w:val="0E2841" w:themeColor="text2"/>
      <w:sz w:val="18"/>
      <w:szCs w:val="18"/>
    </w:rPr>
  </w:style>
  <w:style w:type="table" w:styleId="TableGrid">
    <w:name w:val="Table Grid"/>
    <w:basedOn w:val="TableNormal"/>
    <w:uiPriority w:val="39"/>
    <w:rsid w:val="00D674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064591"/>
  </w:style>
  <w:style w:type="paragraph" w:styleId="Header">
    <w:name w:val="header"/>
    <w:basedOn w:val="Normal"/>
    <w:link w:val="HeaderChar"/>
    <w:uiPriority w:val="99"/>
    <w:unhideWhenUsed/>
    <w:rsid w:val="008C72FD"/>
    <w:pPr>
      <w:tabs>
        <w:tab w:val="center" w:pos="4513"/>
        <w:tab w:val="right" w:pos="9026"/>
      </w:tabs>
      <w:spacing w:after="0" w:line="240" w:lineRule="auto"/>
    </w:pPr>
  </w:style>
  <w:style w:type="character" w:customStyle="1" w:styleId="HeaderChar">
    <w:name w:val="Header Char"/>
    <w:basedOn w:val="DefaultParagraphFont"/>
    <w:link w:val="Header"/>
    <w:uiPriority w:val="99"/>
    <w:rsid w:val="008C72FD"/>
  </w:style>
  <w:style w:type="paragraph" w:styleId="Footer">
    <w:name w:val="footer"/>
    <w:basedOn w:val="Normal"/>
    <w:link w:val="FooterChar"/>
    <w:uiPriority w:val="99"/>
    <w:unhideWhenUsed/>
    <w:rsid w:val="008C72FD"/>
    <w:pPr>
      <w:tabs>
        <w:tab w:val="center" w:pos="4513"/>
        <w:tab w:val="right" w:pos="9026"/>
      </w:tabs>
      <w:spacing w:after="0" w:line="240" w:lineRule="auto"/>
    </w:pPr>
  </w:style>
  <w:style w:type="character" w:customStyle="1" w:styleId="FooterChar">
    <w:name w:val="Footer Char"/>
    <w:basedOn w:val="DefaultParagraphFont"/>
    <w:link w:val="Footer"/>
    <w:uiPriority w:val="99"/>
    <w:rsid w:val="008C72FD"/>
  </w:style>
  <w:style w:type="character" w:styleId="Hyperlink">
    <w:name w:val="Hyperlink"/>
    <w:basedOn w:val="DefaultParagraphFont"/>
    <w:uiPriority w:val="99"/>
    <w:unhideWhenUsed/>
    <w:rsid w:val="00776A43"/>
    <w:rPr>
      <w:color w:val="467886" w:themeColor="hyperlink"/>
      <w:u w:val="single"/>
    </w:rPr>
  </w:style>
  <w:style w:type="paragraph" w:styleId="FootnoteText">
    <w:name w:val="footnote text"/>
    <w:basedOn w:val="Normal"/>
    <w:link w:val="FootnoteTextChar"/>
    <w:uiPriority w:val="99"/>
    <w:semiHidden/>
    <w:unhideWhenUsed/>
    <w:rsid w:val="003F7FE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F7FE3"/>
    <w:rPr>
      <w:sz w:val="20"/>
      <w:szCs w:val="20"/>
    </w:rPr>
  </w:style>
  <w:style w:type="character" w:styleId="FootnoteReference">
    <w:name w:val="footnote reference"/>
    <w:basedOn w:val="DefaultParagraphFont"/>
    <w:uiPriority w:val="99"/>
    <w:semiHidden/>
    <w:unhideWhenUsed/>
    <w:rsid w:val="003F7FE3"/>
    <w:rPr>
      <w:vertAlign w:val="superscript"/>
    </w:rPr>
  </w:style>
  <w:style w:type="character" w:customStyle="1" w:styleId="ListParagraphChar">
    <w:name w:val="List Paragraph Char"/>
    <w:aliases w:val="body 2 Char,Normal bullet 2 Char,List Paragraph1 Char,Heading x1 Char,List Paragraph11 Char,Bullet 1 Char,Table of contents numbered Char,A_wyliczenie Char,K-P_odwolanie Char,Akapit z listą5 Char,maz_wyliczenie Char,Forth level Char"/>
    <w:link w:val="ListParagraph"/>
    <w:uiPriority w:val="34"/>
    <w:qFormat/>
    <w:locked/>
    <w:rsid w:val="00A7096B"/>
  </w:style>
  <w:style w:type="character" w:styleId="CommentReference">
    <w:name w:val="annotation reference"/>
    <w:basedOn w:val="DefaultParagraphFont"/>
    <w:uiPriority w:val="99"/>
    <w:semiHidden/>
    <w:unhideWhenUsed/>
    <w:rsid w:val="005A5CB6"/>
    <w:rPr>
      <w:sz w:val="16"/>
      <w:szCs w:val="16"/>
    </w:rPr>
  </w:style>
  <w:style w:type="paragraph" w:styleId="CommentText">
    <w:name w:val="annotation text"/>
    <w:basedOn w:val="Normal"/>
    <w:link w:val="CommentTextChar"/>
    <w:uiPriority w:val="99"/>
    <w:unhideWhenUsed/>
    <w:rsid w:val="005A5CB6"/>
    <w:pPr>
      <w:spacing w:line="240" w:lineRule="auto"/>
    </w:pPr>
    <w:rPr>
      <w:sz w:val="20"/>
      <w:szCs w:val="20"/>
    </w:rPr>
  </w:style>
  <w:style w:type="character" w:customStyle="1" w:styleId="CommentTextChar">
    <w:name w:val="Comment Text Char"/>
    <w:basedOn w:val="DefaultParagraphFont"/>
    <w:link w:val="CommentText"/>
    <w:uiPriority w:val="99"/>
    <w:rsid w:val="005A5CB6"/>
    <w:rPr>
      <w:sz w:val="20"/>
      <w:szCs w:val="20"/>
    </w:rPr>
  </w:style>
  <w:style w:type="paragraph" w:styleId="CommentSubject">
    <w:name w:val="annotation subject"/>
    <w:basedOn w:val="CommentText"/>
    <w:next w:val="CommentText"/>
    <w:link w:val="CommentSubjectChar"/>
    <w:uiPriority w:val="99"/>
    <w:semiHidden/>
    <w:unhideWhenUsed/>
    <w:rsid w:val="005A5CB6"/>
    <w:rPr>
      <w:b/>
      <w:bCs/>
    </w:rPr>
  </w:style>
  <w:style w:type="character" w:customStyle="1" w:styleId="CommentSubjectChar">
    <w:name w:val="Comment Subject Char"/>
    <w:basedOn w:val="CommentTextChar"/>
    <w:link w:val="CommentSubject"/>
    <w:uiPriority w:val="99"/>
    <w:semiHidden/>
    <w:rsid w:val="005A5CB6"/>
    <w:rPr>
      <w:b/>
      <w:bCs/>
      <w:sz w:val="20"/>
      <w:szCs w:val="20"/>
    </w:rPr>
  </w:style>
  <w:style w:type="character" w:styleId="UnresolvedMention">
    <w:name w:val="Unresolved Mention"/>
    <w:basedOn w:val="DefaultParagraphFont"/>
    <w:uiPriority w:val="99"/>
    <w:semiHidden/>
    <w:unhideWhenUsed/>
    <w:rsid w:val="007402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222498">
      <w:bodyDiv w:val="1"/>
      <w:marLeft w:val="0"/>
      <w:marRight w:val="0"/>
      <w:marTop w:val="0"/>
      <w:marBottom w:val="0"/>
      <w:divBdr>
        <w:top w:val="none" w:sz="0" w:space="0" w:color="auto"/>
        <w:left w:val="none" w:sz="0" w:space="0" w:color="auto"/>
        <w:bottom w:val="none" w:sz="0" w:space="0" w:color="auto"/>
        <w:right w:val="none" w:sz="0" w:space="0" w:color="auto"/>
      </w:divBdr>
    </w:div>
    <w:div w:id="253170459">
      <w:bodyDiv w:val="1"/>
      <w:marLeft w:val="0"/>
      <w:marRight w:val="0"/>
      <w:marTop w:val="0"/>
      <w:marBottom w:val="0"/>
      <w:divBdr>
        <w:top w:val="none" w:sz="0" w:space="0" w:color="auto"/>
        <w:left w:val="none" w:sz="0" w:space="0" w:color="auto"/>
        <w:bottom w:val="none" w:sz="0" w:space="0" w:color="auto"/>
        <w:right w:val="none" w:sz="0" w:space="0" w:color="auto"/>
      </w:divBdr>
    </w:div>
    <w:div w:id="285812880">
      <w:bodyDiv w:val="1"/>
      <w:marLeft w:val="0"/>
      <w:marRight w:val="0"/>
      <w:marTop w:val="0"/>
      <w:marBottom w:val="0"/>
      <w:divBdr>
        <w:top w:val="none" w:sz="0" w:space="0" w:color="auto"/>
        <w:left w:val="none" w:sz="0" w:space="0" w:color="auto"/>
        <w:bottom w:val="none" w:sz="0" w:space="0" w:color="auto"/>
        <w:right w:val="none" w:sz="0" w:space="0" w:color="auto"/>
      </w:divBdr>
    </w:div>
    <w:div w:id="316766810">
      <w:bodyDiv w:val="1"/>
      <w:marLeft w:val="0"/>
      <w:marRight w:val="0"/>
      <w:marTop w:val="0"/>
      <w:marBottom w:val="0"/>
      <w:divBdr>
        <w:top w:val="none" w:sz="0" w:space="0" w:color="auto"/>
        <w:left w:val="none" w:sz="0" w:space="0" w:color="auto"/>
        <w:bottom w:val="none" w:sz="0" w:space="0" w:color="auto"/>
        <w:right w:val="none" w:sz="0" w:space="0" w:color="auto"/>
      </w:divBdr>
    </w:div>
    <w:div w:id="325942553">
      <w:bodyDiv w:val="1"/>
      <w:marLeft w:val="0"/>
      <w:marRight w:val="0"/>
      <w:marTop w:val="0"/>
      <w:marBottom w:val="0"/>
      <w:divBdr>
        <w:top w:val="none" w:sz="0" w:space="0" w:color="auto"/>
        <w:left w:val="none" w:sz="0" w:space="0" w:color="auto"/>
        <w:bottom w:val="none" w:sz="0" w:space="0" w:color="auto"/>
        <w:right w:val="none" w:sz="0" w:space="0" w:color="auto"/>
      </w:divBdr>
    </w:div>
    <w:div w:id="359479052">
      <w:bodyDiv w:val="1"/>
      <w:marLeft w:val="0"/>
      <w:marRight w:val="0"/>
      <w:marTop w:val="0"/>
      <w:marBottom w:val="0"/>
      <w:divBdr>
        <w:top w:val="none" w:sz="0" w:space="0" w:color="auto"/>
        <w:left w:val="none" w:sz="0" w:space="0" w:color="auto"/>
        <w:bottom w:val="none" w:sz="0" w:space="0" w:color="auto"/>
        <w:right w:val="none" w:sz="0" w:space="0" w:color="auto"/>
      </w:divBdr>
    </w:div>
    <w:div w:id="359548720">
      <w:bodyDiv w:val="1"/>
      <w:marLeft w:val="0"/>
      <w:marRight w:val="0"/>
      <w:marTop w:val="0"/>
      <w:marBottom w:val="0"/>
      <w:divBdr>
        <w:top w:val="none" w:sz="0" w:space="0" w:color="auto"/>
        <w:left w:val="none" w:sz="0" w:space="0" w:color="auto"/>
        <w:bottom w:val="none" w:sz="0" w:space="0" w:color="auto"/>
        <w:right w:val="none" w:sz="0" w:space="0" w:color="auto"/>
      </w:divBdr>
    </w:div>
    <w:div w:id="423460230">
      <w:bodyDiv w:val="1"/>
      <w:marLeft w:val="0"/>
      <w:marRight w:val="0"/>
      <w:marTop w:val="0"/>
      <w:marBottom w:val="0"/>
      <w:divBdr>
        <w:top w:val="none" w:sz="0" w:space="0" w:color="auto"/>
        <w:left w:val="none" w:sz="0" w:space="0" w:color="auto"/>
        <w:bottom w:val="none" w:sz="0" w:space="0" w:color="auto"/>
        <w:right w:val="none" w:sz="0" w:space="0" w:color="auto"/>
      </w:divBdr>
    </w:div>
    <w:div w:id="521894724">
      <w:bodyDiv w:val="1"/>
      <w:marLeft w:val="0"/>
      <w:marRight w:val="0"/>
      <w:marTop w:val="0"/>
      <w:marBottom w:val="0"/>
      <w:divBdr>
        <w:top w:val="none" w:sz="0" w:space="0" w:color="auto"/>
        <w:left w:val="none" w:sz="0" w:space="0" w:color="auto"/>
        <w:bottom w:val="none" w:sz="0" w:space="0" w:color="auto"/>
        <w:right w:val="none" w:sz="0" w:space="0" w:color="auto"/>
      </w:divBdr>
    </w:div>
    <w:div w:id="599341152">
      <w:bodyDiv w:val="1"/>
      <w:marLeft w:val="0"/>
      <w:marRight w:val="0"/>
      <w:marTop w:val="0"/>
      <w:marBottom w:val="0"/>
      <w:divBdr>
        <w:top w:val="none" w:sz="0" w:space="0" w:color="auto"/>
        <w:left w:val="none" w:sz="0" w:space="0" w:color="auto"/>
        <w:bottom w:val="none" w:sz="0" w:space="0" w:color="auto"/>
        <w:right w:val="none" w:sz="0" w:space="0" w:color="auto"/>
      </w:divBdr>
    </w:div>
    <w:div w:id="686174451">
      <w:bodyDiv w:val="1"/>
      <w:marLeft w:val="0"/>
      <w:marRight w:val="0"/>
      <w:marTop w:val="0"/>
      <w:marBottom w:val="0"/>
      <w:divBdr>
        <w:top w:val="none" w:sz="0" w:space="0" w:color="auto"/>
        <w:left w:val="none" w:sz="0" w:space="0" w:color="auto"/>
        <w:bottom w:val="none" w:sz="0" w:space="0" w:color="auto"/>
        <w:right w:val="none" w:sz="0" w:space="0" w:color="auto"/>
      </w:divBdr>
    </w:div>
    <w:div w:id="907376344">
      <w:bodyDiv w:val="1"/>
      <w:marLeft w:val="0"/>
      <w:marRight w:val="0"/>
      <w:marTop w:val="0"/>
      <w:marBottom w:val="0"/>
      <w:divBdr>
        <w:top w:val="none" w:sz="0" w:space="0" w:color="auto"/>
        <w:left w:val="none" w:sz="0" w:space="0" w:color="auto"/>
        <w:bottom w:val="none" w:sz="0" w:space="0" w:color="auto"/>
        <w:right w:val="none" w:sz="0" w:space="0" w:color="auto"/>
      </w:divBdr>
    </w:div>
    <w:div w:id="959725367">
      <w:bodyDiv w:val="1"/>
      <w:marLeft w:val="0"/>
      <w:marRight w:val="0"/>
      <w:marTop w:val="0"/>
      <w:marBottom w:val="0"/>
      <w:divBdr>
        <w:top w:val="none" w:sz="0" w:space="0" w:color="auto"/>
        <w:left w:val="none" w:sz="0" w:space="0" w:color="auto"/>
        <w:bottom w:val="none" w:sz="0" w:space="0" w:color="auto"/>
        <w:right w:val="none" w:sz="0" w:space="0" w:color="auto"/>
      </w:divBdr>
    </w:div>
    <w:div w:id="978995114">
      <w:bodyDiv w:val="1"/>
      <w:marLeft w:val="0"/>
      <w:marRight w:val="0"/>
      <w:marTop w:val="0"/>
      <w:marBottom w:val="0"/>
      <w:divBdr>
        <w:top w:val="none" w:sz="0" w:space="0" w:color="auto"/>
        <w:left w:val="none" w:sz="0" w:space="0" w:color="auto"/>
        <w:bottom w:val="none" w:sz="0" w:space="0" w:color="auto"/>
        <w:right w:val="none" w:sz="0" w:space="0" w:color="auto"/>
      </w:divBdr>
    </w:div>
    <w:div w:id="982999063">
      <w:bodyDiv w:val="1"/>
      <w:marLeft w:val="0"/>
      <w:marRight w:val="0"/>
      <w:marTop w:val="0"/>
      <w:marBottom w:val="0"/>
      <w:divBdr>
        <w:top w:val="none" w:sz="0" w:space="0" w:color="auto"/>
        <w:left w:val="none" w:sz="0" w:space="0" w:color="auto"/>
        <w:bottom w:val="none" w:sz="0" w:space="0" w:color="auto"/>
        <w:right w:val="none" w:sz="0" w:space="0" w:color="auto"/>
      </w:divBdr>
    </w:div>
    <w:div w:id="1255743597">
      <w:bodyDiv w:val="1"/>
      <w:marLeft w:val="0"/>
      <w:marRight w:val="0"/>
      <w:marTop w:val="0"/>
      <w:marBottom w:val="0"/>
      <w:divBdr>
        <w:top w:val="none" w:sz="0" w:space="0" w:color="auto"/>
        <w:left w:val="none" w:sz="0" w:space="0" w:color="auto"/>
        <w:bottom w:val="none" w:sz="0" w:space="0" w:color="auto"/>
        <w:right w:val="none" w:sz="0" w:space="0" w:color="auto"/>
      </w:divBdr>
    </w:div>
    <w:div w:id="1298873637">
      <w:bodyDiv w:val="1"/>
      <w:marLeft w:val="0"/>
      <w:marRight w:val="0"/>
      <w:marTop w:val="0"/>
      <w:marBottom w:val="0"/>
      <w:divBdr>
        <w:top w:val="none" w:sz="0" w:space="0" w:color="auto"/>
        <w:left w:val="none" w:sz="0" w:space="0" w:color="auto"/>
        <w:bottom w:val="none" w:sz="0" w:space="0" w:color="auto"/>
        <w:right w:val="none" w:sz="0" w:space="0" w:color="auto"/>
      </w:divBdr>
    </w:div>
    <w:div w:id="1519418841">
      <w:bodyDiv w:val="1"/>
      <w:marLeft w:val="0"/>
      <w:marRight w:val="0"/>
      <w:marTop w:val="0"/>
      <w:marBottom w:val="0"/>
      <w:divBdr>
        <w:top w:val="none" w:sz="0" w:space="0" w:color="auto"/>
        <w:left w:val="none" w:sz="0" w:space="0" w:color="auto"/>
        <w:bottom w:val="none" w:sz="0" w:space="0" w:color="auto"/>
        <w:right w:val="none" w:sz="0" w:space="0" w:color="auto"/>
      </w:divBdr>
    </w:div>
    <w:div w:id="1626084016">
      <w:bodyDiv w:val="1"/>
      <w:marLeft w:val="0"/>
      <w:marRight w:val="0"/>
      <w:marTop w:val="0"/>
      <w:marBottom w:val="0"/>
      <w:divBdr>
        <w:top w:val="none" w:sz="0" w:space="0" w:color="auto"/>
        <w:left w:val="none" w:sz="0" w:space="0" w:color="auto"/>
        <w:bottom w:val="none" w:sz="0" w:space="0" w:color="auto"/>
        <w:right w:val="none" w:sz="0" w:space="0" w:color="auto"/>
      </w:divBdr>
    </w:div>
    <w:div w:id="1646742756">
      <w:bodyDiv w:val="1"/>
      <w:marLeft w:val="0"/>
      <w:marRight w:val="0"/>
      <w:marTop w:val="0"/>
      <w:marBottom w:val="0"/>
      <w:divBdr>
        <w:top w:val="none" w:sz="0" w:space="0" w:color="auto"/>
        <w:left w:val="none" w:sz="0" w:space="0" w:color="auto"/>
        <w:bottom w:val="none" w:sz="0" w:space="0" w:color="auto"/>
        <w:right w:val="none" w:sz="0" w:space="0" w:color="auto"/>
      </w:divBdr>
    </w:div>
    <w:div w:id="1727754930">
      <w:bodyDiv w:val="1"/>
      <w:marLeft w:val="0"/>
      <w:marRight w:val="0"/>
      <w:marTop w:val="0"/>
      <w:marBottom w:val="0"/>
      <w:divBdr>
        <w:top w:val="none" w:sz="0" w:space="0" w:color="auto"/>
        <w:left w:val="none" w:sz="0" w:space="0" w:color="auto"/>
        <w:bottom w:val="none" w:sz="0" w:space="0" w:color="auto"/>
        <w:right w:val="none" w:sz="0" w:space="0" w:color="auto"/>
      </w:divBdr>
    </w:div>
    <w:div w:id="1919828164">
      <w:bodyDiv w:val="1"/>
      <w:marLeft w:val="0"/>
      <w:marRight w:val="0"/>
      <w:marTop w:val="0"/>
      <w:marBottom w:val="0"/>
      <w:divBdr>
        <w:top w:val="none" w:sz="0" w:space="0" w:color="auto"/>
        <w:left w:val="none" w:sz="0" w:space="0" w:color="auto"/>
        <w:bottom w:val="none" w:sz="0" w:space="0" w:color="auto"/>
        <w:right w:val="none" w:sz="0" w:space="0" w:color="auto"/>
      </w:divBdr>
    </w:div>
    <w:div w:id="1978683294">
      <w:bodyDiv w:val="1"/>
      <w:marLeft w:val="0"/>
      <w:marRight w:val="0"/>
      <w:marTop w:val="0"/>
      <w:marBottom w:val="0"/>
      <w:divBdr>
        <w:top w:val="none" w:sz="0" w:space="0" w:color="auto"/>
        <w:left w:val="none" w:sz="0" w:space="0" w:color="auto"/>
        <w:bottom w:val="none" w:sz="0" w:space="0" w:color="auto"/>
        <w:right w:val="none" w:sz="0" w:space="0" w:color="auto"/>
      </w:divBdr>
    </w:div>
    <w:div w:id="2042320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A6115D7D0BEE49A30D8BAA9AAEDD9A" ma:contentTypeVersion="4" ma:contentTypeDescription="Create a new document." ma:contentTypeScope="" ma:versionID="c4aee13e3cb8cca483761a332fd97440">
  <xsd:schema xmlns:xsd="http://www.w3.org/2001/XMLSchema" xmlns:xs="http://www.w3.org/2001/XMLSchema" xmlns:p="http://schemas.microsoft.com/office/2006/metadata/properties" xmlns:ns2="a52e2bb0-bb7b-4f7f-8ba6-6551d1413491" targetNamespace="http://schemas.microsoft.com/office/2006/metadata/properties" ma:root="true" ma:fieldsID="ebf7da52d490ef0a8df1275b49507acb" ns2:_="">
    <xsd:import namespace="a52e2bb0-bb7b-4f7f-8ba6-6551d141349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2e2bb0-bb7b-4f7f-8ba6-6551d14134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99CAE2-F92B-485C-B1DC-5FDB253A124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492E2CA-19E0-456D-A584-93C89A7773E1}">
  <ds:schemaRefs>
    <ds:schemaRef ds:uri="http://schemas.openxmlformats.org/officeDocument/2006/bibliography"/>
  </ds:schemaRefs>
</ds:datastoreItem>
</file>

<file path=customXml/itemProps3.xml><?xml version="1.0" encoding="utf-8"?>
<ds:datastoreItem xmlns:ds="http://schemas.openxmlformats.org/officeDocument/2006/customXml" ds:itemID="{57F7CF0F-1751-4C78-9B10-E42D56BD4CA7}">
  <ds:schemaRefs>
    <ds:schemaRef ds:uri="http://schemas.microsoft.com/sharepoint/v3/contenttype/forms"/>
  </ds:schemaRefs>
</ds:datastoreItem>
</file>

<file path=customXml/itemProps4.xml><?xml version="1.0" encoding="utf-8"?>
<ds:datastoreItem xmlns:ds="http://schemas.openxmlformats.org/officeDocument/2006/customXml" ds:itemID="{DE91A5BF-6C9F-44F5-8A67-E9C9131AAE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2e2bb0-bb7b-4f7f-8ba6-6551d14134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435</TotalTime>
  <Pages>5</Pages>
  <Words>2069</Words>
  <Characters>11799</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13841</CharactersWithSpaces>
  <SharedDoc>false</SharedDoc>
  <HLinks>
    <vt:vector size="6" baseType="variant">
      <vt:variant>
        <vt:i4>6815773</vt:i4>
      </vt:variant>
      <vt:variant>
        <vt:i4>0</vt:i4>
      </vt:variant>
      <vt:variant>
        <vt:i4>0</vt:i4>
      </vt:variant>
      <vt:variant>
        <vt:i4>5</vt:i4>
      </vt:variant>
      <vt:variant>
        <vt:lpwstr>https://eur-lex.europa.eu/resource.html?uri=cellar:b7c08d86-7cd5-11eb-9ac9-01aa75ed71a1.0001.02/DOC_2&amp;format=PDF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 Gramillano</dc:creator>
  <cp:keywords/>
  <dc:description/>
  <cp:lastModifiedBy>Roxana Diaconu</cp:lastModifiedBy>
  <cp:revision>222</cp:revision>
  <dcterms:created xsi:type="dcterms:W3CDTF">2025-02-24T17:22:00Z</dcterms:created>
  <dcterms:modified xsi:type="dcterms:W3CDTF">2025-03-04T12:34:00Z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0x01010054A6115D7D0BEE49A30D8BAA9AAEDD9A</vt:lpwstr>
  </property>
</Properties>
</file>